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0751D">
      <w:pPr>
        <w:jc w:val="center"/>
        <w:rPr>
          <w:highlight w:val="none"/>
        </w:rPr>
      </w:pPr>
      <w:bookmarkStart w:id="1" w:name="_GoBack"/>
      <w:r>
        <w:rPr>
          <w:rFonts w:hint="eastAsia"/>
          <w:highlight w:val="none"/>
        </w:rPr>
        <w:drawing>
          <wp:inline distT="0" distB="0" distL="114300" distR="114300">
            <wp:extent cx="3962400" cy="469900"/>
            <wp:effectExtent l="0" t="0" r="0" b="6350"/>
            <wp:docPr id="2" name="图片 2" descr="26701d0c66132b026888d57fab84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6701d0c66132b026888d57fab84b83"/>
                    <pic:cNvPicPr>
                      <a:picLocks noChangeAspect="1"/>
                    </pic:cNvPicPr>
                  </pic:nvPicPr>
                  <pic:blipFill>
                    <a:blip r:embed="rId5"/>
                    <a:stretch>
                      <a:fillRect/>
                    </a:stretch>
                  </pic:blipFill>
                  <pic:spPr>
                    <a:xfrm>
                      <a:off x="0" y="0"/>
                      <a:ext cx="3962400" cy="469900"/>
                    </a:xfrm>
                    <a:prstGeom prst="rect">
                      <a:avLst/>
                    </a:prstGeom>
                  </pic:spPr>
                </pic:pic>
              </a:graphicData>
            </a:graphic>
          </wp:inline>
        </w:drawing>
      </w:r>
    </w:p>
    <w:p w14:paraId="356E00A0">
      <w:pPr>
        <w:jc w:val="left"/>
        <w:rPr>
          <w:sz w:val="24"/>
          <w:highlight w:val="none"/>
        </w:rPr>
      </w:pPr>
      <w:r>
        <w:rPr>
          <w:rFonts w:hint="eastAsia"/>
          <w:highlight w:val="none"/>
        </w:rPr>
        <w:t xml:space="preserve">                                           </w:t>
      </w:r>
      <w:r>
        <w:rPr>
          <w:rFonts w:hint="eastAsia"/>
          <w:sz w:val="28"/>
          <w:highlight w:val="none"/>
        </w:rPr>
        <w:t xml:space="preserve"> </w:t>
      </w:r>
      <w:r>
        <w:rPr>
          <w:sz w:val="28"/>
          <w:highlight w:val="none"/>
        </w:rPr>
        <w:t xml:space="preserve">   </w:t>
      </w:r>
      <w:r>
        <w:rPr>
          <w:sz w:val="24"/>
          <w:highlight w:val="none"/>
        </w:rPr>
        <w:t xml:space="preserve"> </w:t>
      </w:r>
      <w:r>
        <w:rPr>
          <w:rFonts w:hint="eastAsia"/>
          <w:sz w:val="24"/>
          <w:highlight w:val="none"/>
        </w:rPr>
        <w:t xml:space="preserve">       </w:t>
      </w:r>
    </w:p>
    <w:p w14:paraId="591FA76F">
      <w:pPr>
        <w:jc w:val="left"/>
        <w:rPr>
          <w:sz w:val="24"/>
          <w:highlight w:val="none"/>
        </w:rPr>
      </w:pPr>
    </w:p>
    <w:p w14:paraId="449CB5E2">
      <w:pPr>
        <w:rPr>
          <w:highlight w:val="none"/>
        </w:rPr>
      </w:pPr>
    </w:p>
    <w:p w14:paraId="5BF5C5AA">
      <w:pPr>
        <w:jc w:val="center"/>
        <w:rPr>
          <w:rFonts w:eastAsia="黑体"/>
          <w:b/>
          <w:sz w:val="44"/>
        </w:rPr>
      </w:pPr>
      <w:r>
        <w:rPr>
          <w:rFonts w:hint="eastAsia" w:eastAsia="黑体"/>
          <w:b/>
          <w:color w:val="0000FF"/>
          <w:sz w:val="44"/>
          <w:u w:val="single"/>
          <w:lang w:val="en-US" w:eastAsia="zh-CN"/>
        </w:rPr>
        <w:t>钢筋</w:t>
      </w:r>
      <w:r>
        <w:rPr>
          <w:rFonts w:hint="eastAsia" w:eastAsia="黑体"/>
          <w:b/>
          <w:sz w:val="44"/>
        </w:rPr>
        <w:t>采购招标文件</w:t>
      </w:r>
    </w:p>
    <w:p w14:paraId="03468A45">
      <w:pPr>
        <w:rPr>
          <w:rFonts w:eastAsia="黑体"/>
          <w:b/>
          <w:sz w:val="44"/>
        </w:rPr>
      </w:pPr>
    </w:p>
    <w:p w14:paraId="2C45A146">
      <w:pPr>
        <w:ind w:right="-36" w:rightChars="-17"/>
        <w:rPr>
          <w:b/>
          <w:sz w:val="32"/>
        </w:rPr>
      </w:pPr>
    </w:p>
    <w:p w14:paraId="63908065">
      <w:pPr>
        <w:rPr>
          <w:color w:val="000000" w:themeColor="text1"/>
          <w:sz w:val="28"/>
          <w14:textFill>
            <w14:solidFill>
              <w14:schemeClr w14:val="tx1"/>
            </w14:solidFill>
          </w14:textFill>
        </w:rPr>
      </w:pPr>
      <w:r>
        <w:rPr>
          <w:rFonts w:hint="eastAsia"/>
          <w:b/>
          <w:bCs/>
          <w:sz w:val="28"/>
        </w:rPr>
        <w:t>单位名称：</w:t>
      </w:r>
      <w:r>
        <w:rPr>
          <w:rFonts w:hint="eastAsia"/>
          <w:color w:val="000000"/>
          <w:sz w:val="28"/>
          <w:u w:val="single"/>
        </w:rPr>
        <w:t>河北建设股份有限公司第四分公司</w:t>
      </w:r>
    </w:p>
    <w:p w14:paraId="72C4AC0C">
      <w:pPr>
        <w:rPr>
          <w:color w:val="000000" w:themeColor="text1"/>
          <w:sz w:val="28"/>
          <w14:textFill>
            <w14:solidFill>
              <w14:schemeClr w14:val="tx1"/>
            </w14:solidFill>
          </w14:textFill>
        </w:rPr>
      </w:pPr>
    </w:p>
    <w:p w14:paraId="6DB1CB39">
      <w:pPr>
        <w:jc w:val="both"/>
        <w:rPr>
          <w:color w:val="000000" w:themeColor="text1"/>
          <w:sz w:val="28"/>
          <w:u w:val="single"/>
          <w14:textFill>
            <w14:solidFill>
              <w14:schemeClr w14:val="tx1"/>
            </w14:solidFill>
          </w14:textFill>
        </w:rPr>
      </w:pPr>
      <w:r>
        <w:rPr>
          <w:rFonts w:hint="eastAsia"/>
          <w:b/>
          <w:bCs/>
          <w:color w:val="000000" w:themeColor="text1"/>
          <w:sz w:val="28"/>
          <w14:textFill>
            <w14:solidFill>
              <w14:schemeClr w14:val="tx1"/>
            </w14:solidFill>
          </w14:textFill>
        </w:rPr>
        <w:t>项目名称：</w:t>
      </w:r>
      <w:r>
        <w:rPr>
          <w:rFonts w:hint="eastAsia"/>
          <w:color w:val="000000"/>
          <w:sz w:val="28"/>
          <w:u w:val="single"/>
        </w:rPr>
        <w:t>辰风药业安国工厂项目</w:t>
      </w:r>
    </w:p>
    <w:p w14:paraId="73A01176">
      <w:pPr>
        <w:rPr>
          <w:color w:val="000000" w:themeColor="text1"/>
          <w:sz w:val="28"/>
          <w:u w:val="single"/>
          <w14:textFill>
            <w14:solidFill>
              <w14:schemeClr w14:val="tx1"/>
            </w14:solidFill>
          </w14:textFill>
        </w:rPr>
      </w:pPr>
    </w:p>
    <w:p w14:paraId="57F2F2B7">
      <w:pPr>
        <w:rPr>
          <w:rFonts w:hint="default" w:eastAsia="宋体"/>
          <w:b/>
          <w:bCs/>
          <w:color w:val="000000" w:themeColor="text1"/>
          <w:sz w:val="28"/>
          <w:highlight w:val="yellow"/>
          <w:lang w:val="en-US" w:eastAsia="zh-CN"/>
          <w14:textFill>
            <w14:solidFill>
              <w14:schemeClr w14:val="tx1"/>
            </w14:solidFill>
          </w14:textFill>
        </w:rPr>
      </w:pPr>
      <w:r>
        <w:rPr>
          <w:rFonts w:hint="eastAsia"/>
          <w:b/>
          <w:bCs/>
          <w:color w:val="000000" w:themeColor="text1"/>
          <w:sz w:val="28"/>
          <w14:textFill>
            <w14:solidFill>
              <w14:schemeClr w14:val="tx1"/>
            </w14:solidFill>
          </w14:textFill>
        </w:rPr>
        <w:t>招标编号：</w:t>
      </w:r>
      <w:r>
        <w:rPr>
          <w:rFonts w:hint="eastAsia"/>
          <w:color w:val="000000" w:themeColor="text1"/>
          <w:sz w:val="28"/>
          <w:u w:val="single"/>
          <w:lang w:val="en-US" w:eastAsia="zh-CN"/>
          <w14:textFill>
            <w14:solidFill>
              <w14:schemeClr w14:val="tx1"/>
            </w14:solidFill>
          </w14:textFill>
        </w:rPr>
        <w:t xml:space="preserve"> CLZB-202608-00335  </w:t>
      </w:r>
    </w:p>
    <w:p w14:paraId="4CD349CC">
      <w:pPr>
        <w:rPr>
          <w:b/>
          <w:bCs/>
          <w:color w:val="000000" w:themeColor="text1"/>
          <w:sz w:val="28"/>
          <w14:textFill>
            <w14:solidFill>
              <w14:schemeClr w14:val="tx1"/>
            </w14:solidFill>
          </w14:textFill>
        </w:rPr>
      </w:pPr>
    </w:p>
    <w:p w14:paraId="57A0A7A3">
      <w:pPr>
        <w:rPr>
          <w:rFonts w:hint="eastAsia" w:eastAsia="宋体"/>
          <w:color w:val="000000" w:themeColor="text1"/>
          <w:sz w:val="28"/>
          <w:lang w:eastAsia="zh-CN"/>
          <w14:textFill>
            <w14:solidFill>
              <w14:schemeClr w14:val="tx1"/>
            </w14:solidFill>
          </w14:textFill>
        </w:rPr>
      </w:pPr>
      <w:r>
        <w:rPr>
          <w:rFonts w:hint="eastAsia"/>
          <w:b/>
          <w:bCs/>
          <w:color w:val="000000" w:themeColor="text1"/>
          <w:sz w:val="28"/>
          <w14:textFill>
            <w14:solidFill>
              <w14:schemeClr w14:val="tx1"/>
            </w14:solidFill>
          </w14:textFill>
        </w:rPr>
        <w:t>联系人：</w:t>
      </w:r>
      <w:r>
        <w:rPr>
          <w:rFonts w:hint="eastAsia"/>
          <w:color w:val="000000" w:themeColor="text1"/>
          <w:sz w:val="28"/>
          <w:u w:val="single"/>
          <w:lang w:val="en-US" w:eastAsia="zh-CN"/>
          <w14:textFill>
            <w14:solidFill>
              <w14:schemeClr w14:val="tx1"/>
            </w14:solidFill>
          </w14:textFill>
        </w:rPr>
        <w:t>李朴</w:t>
      </w:r>
    </w:p>
    <w:p w14:paraId="0BC16B59">
      <w:pPr>
        <w:rPr>
          <w:sz w:val="28"/>
        </w:rPr>
      </w:pPr>
    </w:p>
    <w:p w14:paraId="3CAEAE0F">
      <w:pPr>
        <w:rPr>
          <w:rFonts w:hint="default" w:eastAsia="宋体"/>
          <w:color w:val="000000" w:themeColor="text1"/>
          <w:sz w:val="28"/>
          <w:lang w:val="en-US" w:eastAsia="zh-CN"/>
          <w14:textFill>
            <w14:solidFill>
              <w14:schemeClr w14:val="tx1"/>
            </w14:solidFill>
          </w14:textFill>
        </w:rPr>
      </w:pPr>
      <w:r>
        <w:rPr>
          <w:rFonts w:hint="eastAsia"/>
          <w:b/>
          <w:bCs/>
          <w:sz w:val="28"/>
        </w:rPr>
        <w:t>电</w:t>
      </w:r>
      <w:r>
        <w:rPr>
          <w:rFonts w:hint="eastAsia"/>
          <w:b/>
          <w:bCs/>
          <w:color w:val="000000" w:themeColor="text1"/>
          <w:sz w:val="28"/>
          <w14:textFill>
            <w14:solidFill>
              <w14:schemeClr w14:val="tx1"/>
            </w14:solidFill>
          </w14:textFill>
        </w:rPr>
        <w:t xml:space="preserve">  话：</w:t>
      </w:r>
      <w:r>
        <w:rPr>
          <w:rFonts w:hint="eastAsia"/>
          <w:color w:val="000000" w:themeColor="text1"/>
          <w:sz w:val="28"/>
          <w:u w:val="single"/>
          <w14:textFill>
            <w14:solidFill>
              <w14:schemeClr w14:val="tx1"/>
            </w14:solidFill>
          </w14:textFill>
        </w:rPr>
        <w:t>18</w:t>
      </w:r>
      <w:r>
        <w:rPr>
          <w:rFonts w:hint="eastAsia"/>
          <w:color w:val="000000" w:themeColor="text1"/>
          <w:sz w:val="28"/>
          <w:u w:val="single"/>
          <w:lang w:val="en-US" w:eastAsia="zh-CN"/>
          <w14:textFill>
            <w14:solidFill>
              <w14:schemeClr w14:val="tx1"/>
            </w14:solidFill>
          </w14:textFill>
        </w:rPr>
        <w:t>631253716</w:t>
      </w:r>
    </w:p>
    <w:p w14:paraId="0C58A1A6">
      <w:pPr>
        <w:rPr>
          <w:color w:val="000000" w:themeColor="text1"/>
          <w:sz w:val="28"/>
          <w14:textFill>
            <w14:solidFill>
              <w14:schemeClr w14:val="tx1"/>
            </w14:solidFill>
          </w14:textFill>
        </w:rPr>
      </w:pPr>
    </w:p>
    <w:p w14:paraId="7B95679C">
      <w:pPr>
        <w:rPr>
          <w:color w:val="000000" w:themeColor="text1"/>
          <w:sz w:val="28"/>
          <w14:textFill>
            <w14:solidFill>
              <w14:schemeClr w14:val="tx1"/>
            </w14:solidFill>
          </w14:textFill>
        </w:rPr>
      </w:pPr>
      <w:r>
        <w:rPr>
          <w:rFonts w:hint="eastAsia"/>
          <w:b/>
          <w:bCs/>
          <w:color w:val="000000" w:themeColor="text1"/>
          <w:sz w:val="28"/>
          <w14:textFill>
            <w14:solidFill>
              <w14:schemeClr w14:val="tx1"/>
            </w14:solidFill>
          </w14:textFill>
        </w:rPr>
        <w:t>发标时间：</w:t>
      </w:r>
      <w:r>
        <w:rPr>
          <w:rFonts w:hint="eastAsia"/>
          <w:color w:val="000000" w:themeColor="text1"/>
          <w:sz w:val="28"/>
          <w14:textFill>
            <w14:solidFill>
              <w14:schemeClr w14:val="tx1"/>
            </w14:solidFill>
          </w14:textFill>
        </w:rPr>
        <w:t xml:space="preserve"> 202</w:t>
      </w:r>
      <w:r>
        <w:rPr>
          <w:rFonts w:hint="eastAsia"/>
          <w:color w:val="000000" w:themeColor="text1"/>
          <w:sz w:val="28"/>
          <w:lang w:val="en-US" w:eastAsia="zh-CN"/>
          <w14:textFill>
            <w14:solidFill>
              <w14:schemeClr w14:val="tx1"/>
            </w14:solidFill>
          </w14:textFill>
        </w:rPr>
        <w:t>6</w:t>
      </w:r>
      <w:r>
        <w:rPr>
          <w:rFonts w:hint="eastAsia"/>
          <w:color w:val="000000" w:themeColor="text1"/>
          <w:sz w:val="28"/>
          <w14:textFill>
            <w14:solidFill>
              <w14:schemeClr w14:val="tx1"/>
            </w14:solidFill>
          </w14:textFill>
        </w:rPr>
        <w:t xml:space="preserve"> 年 </w:t>
      </w:r>
      <w:r>
        <w:rPr>
          <w:rFonts w:hint="eastAsia"/>
          <w:color w:val="000000" w:themeColor="text1"/>
          <w:sz w:val="28"/>
          <w:u w:val="single"/>
          <w:lang w:val="en-US" w:eastAsia="zh-CN"/>
          <w14:textFill>
            <w14:solidFill>
              <w14:schemeClr w14:val="tx1"/>
            </w14:solidFill>
          </w14:textFill>
        </w:rPr>
        <w:t>8</w:t>
      </w:r>
      <w:r>
        <w:rPr>
          <w:rFonts w:hint="eastAsia"/>
          <w:color w:val="000000" w:themeColor="text1"/>
          <w:sz w:val="28"/>
          <w14:textFill>
            <w14:solidFill>
              <w14:schemeClr w14:val="tx1"/>
            </w14:solidFill>
          </w14:textFill>
        </w:rPr>
        <w:t>月</w:t>
      </w:r>
      <w:r>
        <w:rPr>
          <w:rFonts w:hint="eastAsia"/>
          <w:color w:val="000000" w:themeColor="text1"/>
          <w:sz w:val="28"/>
          <w:u w:val="single"/>
          <w:lang w:val="en-US" w:eastAsia="zh-CN"/>
          <w14:textFill>
            <w14:solidFill>
              <w14:schemeClr w14:val="tx1"/>
            </w14:solidFill>
          </w14:textFill>
        </w:rPr>
        <w:t xml:space="preserve"> 31 </w:t>
      </w:r>
      <w:r>
        <w:rPr>
          <w:rFonts w:hint="eastAsia"/>
          <w:color w:val="000000" w:themeColor="text1"/>
          <w:sz w:val="28"/>
          <w14:textFill>
            <w14:solidFill>
              <w14:schemeClr w14:val="tx1"/>
            </w14:solidFill>
          </w14:textFill>
        </w:rPr>
        <w:t>日</w:t>
      </w:r>
    </w:p>
    <w:p w14:paraId="301B3088">
      <w:pPr>
        <w:rPr>
          <w:color w:val="000000" w:themeColor="text1"/>
          <w:sz w:val="28"/>
          <w14:textFill>
            <w14:solidFill>
              <w14:schemeClr w14:val="tx1"/>
            </w14:solidFill>
          </w14:textFill>
        </w:rPr>
      </w:pPr>
    </w:p>
    <w:p w14:paraId="3413B1DF">
      <w:pPr>
        <w:rPr>
          <w:sz w:val="28"/>
        </w:rPr>
      </w:pPr>
    </w:p>
    <w:p w14:paraId="663C9234">
      <w:pPr>
        <w:rPr>
          <w:sz w:val="28"/>
        </w:rPr>
      </w:pPr>
    </w:p>
    <w:p w14:paraId="5067F763">
      <w:pPr>
        <w:rPr>
          <w:rFonts w:hint="eastAsia"/>
          <w:b/>
          <w:sz w:val="36"/>
          <w:highlight w:val="none"/>
        </w:rPr>
      </w:pPr>
      <w:r>
        <w:rPr>
          <w:rFonts w:hint="eastAsia"/>
          <w:b/>
          <w:sz w:val="36"/>
          <w:highlight w:val="none"/>
        </w:rPr>
        <w:br w:type="page"/>
      </w:r>
    </w:p>
    <w:p w14:paraId="55F82DD5">
      <w:pPr>
        <w:pStyle w:val="8"/>
        <w:shd w:val="clear" w:color="auto" w:fill="FFFFFF"/>
        <w:spacing w:before="0" w:beforeAutospacing="0" w:after="0" w:afterAutospacing="0" w:line="411" w:lineRule="atLeast"/>
        <w:ind w:firstLine="723" w:firstLineChars="200"/>
        <w:jc w:val="center"/>
        <w:rPr>
          <w:b/>
          <w:sz w:val="36"/>
          <w:highlight w:val="none"/>
        </w:rPr>
      </w:pPr>
      <w:r>
        <w:rPr>
          <w:rFonts w:hint="eastAsia"/>
          <w:b/>
          <w:sz w:val="36"/>
          <w:highlight w:val="none"/>
        </w:rPr>
        <w:t>招标文件</w:t>
      </w:r>
    </w:p>
    <w:p w14:paraId="5683177C">
      <w:pPr>
        <w:pStyle w:val="8"/>
        <w:shd w:val="clear" w:color="auto" w:fill="FFFFFF"/>
        <w:spacing w:before="0" w:beforeAutospacing="0" w:after="0" w:afterAutospacing="0" w:line="411" w:lineRule="atLeast"/>
        <w:ind w:firstLine="480" w:firstLineChars="200"/>
        <w:jc w:val="center"/>
        <w:rPr>
          <w:color w:val="333333"/>
          <w:highlight w:val="none"/>
        </w:rPr>
      </w:pPr>
    </w:p>
    <w:p w14:paraId="1FB24741">
      <w:pPr>
        <w:spacing w:before="60" w:after="60"/>
        <w:rPr>
          <w:rFonts w:ascii="宋体"/>
          <w:b/>
          <w:spacing w:val="2"/>
          <w:position w:val="2"/>
          <w:sz w:val="24"/>
          <w:highlight w:val="none"/>
        </w:rPr>
      </w:pPr>
      <w:r>
        <w:rPr>
          <w:rFonts w:hint="eastAsia" w:ascii="宋体"/>
          <w:b/>
          <w:spacing w:val="2"/>
          <w:position w:val="2"/>
          <w:sz w:val="24"/>
          <w:highlight w:val="none"/>
        </w:rPr>
        <w:t>第一条： 工程概况</w:t>
      </w:r>
    </w:p>
    <w:p w14:paraId="45DA2FD4">
      <w:pPr>
        <w:spacing w:line="480" w:lineRule="auto"/>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1.</w:t>
      </w:r>
      <w:r>
        <w:rPr>
          <w:rFonts w:hint="eastAsia" w:ascii="仿宋" w:hAnsi="仿宋" w:eastAsia="仿宋" w:cs="仿宋"/>
          <w:b/>
          <w:bCs/>
          <w:sz w:val="24"/>
          <w:highlight w:val="none"/>
        </w:rPr>
        <w:t>工程名称：</w:t>
      </w:r>
      <w:r>
        <w:rPr>
          <w:rFonts w:hint="eastAsia" w:ascii="仿宋" w:hAnsi="仿宋" w:eastAsia="仿宋" w:cs="仿宋"/>
          <w:b w:val="0"/>
          <w:bCs w:val="0"/>
          <w:sz w:val="24"/>
          <w:highlight w:val="none"/>
          <w:u w:val="single"/>
          <w:lang w:eastAsia="zh-CN"/>
        </w:rPr>
        <w:t>辰风药业安国工厂项目</w:t>
      </w:r>
    </w:p>
    <w:p w14:paraId="58D60357">
      <w:pPr>
        <w:spacing w:line="480" w:lineRule="auto"/>
        <w:rPr>
          <w:rFonts w:hint="eastAsia" w:ascii="仿宋" w:hAnsi="仿宋" w:eastAsia="仿宋" w:cs="仿宋"/>
          <w:b/>
          <w:bCs/>
          <w:sz w:val="24"/>
          <w:highlight w:val="none"/>
          <w:u w:val="single"/>
        </w:rPr>
      </w:pPr>
      <w:r>
        <w:rPr>
          <w:rFonts w:hint="eastAsia" w:ascii="仿宋" w:hAnsi="仿宋" w:eastAsia="仿宋" w:cs="仿宋"/>
          <w:b/>
          <w:bCs/>
          <w:sz w:val="24"/>
          <w:highlight w:val="none"/>
        </w:rPr>
        <w:t>2.工程地点：</w:t>
      </w:r>
      <w:r>
        <w:rPr>
          <w:rFonts w:hint="eastAsia" w:ascii="仿宋" w:hAnsi="仿宋" w:eastAsia="仿宋" w:cs="仿宋"/>
          <w:b w:val="0"/>
          <w:bCs w:val="0"/>
          <w:sz w:val="24"/>
          <w:highlight w:val="none"/>
          <w:u w:val="single"/>
        </w:rPr>
        <w:t>河北省安国市现代中药工业园区</w:t>
      </w:r>
    </w:p>
    <w:p w14:paraId="1AACBA5B">
      <w:pPr>
        <w:spacing w:line="480" w:lineRule="auto"/>
        <w:rPr>
          <w:rFonts w:hint="eastAsia" w:ascii="仿宋" w:hAnsi="仿宋" w:eastAsia="仿宋" w:cs="仿宋"/>
          <w:b w:val="0"/>
          <w:bCs w:val="0"/>
          <w:sz w:val="24"/>
          <w:highlight w:val="none"/>
          <w:u w:val="single"/>
        </w:rPr>
      </w:pPr>
      <w:r>
        <w:rPr>
          <w:rFonts w:hint="eastAsia" w:ascii="仿宋" w:hAnsi="仿宋" w:eastAsia="仿宋" w:cs="仿宋"/>
          <w:b/>
          <w:bCs/>
          <w:sz w:val="24"/>
          <w:highlight w:val="none"/>
        </w:rPr>
        <w:t>3.建设单位：</w:t>
      </w:r>
      <w:r>
        <w:rPr>
          <w:rFonts w:hint="eastAsia" w:ascii="仿宋" w:hAnsi="仿宋" w:eastAsia="仿宋" w:cs="仿宋"/>
          <w:b w:val="0"/>
          <w:bCs w:val="0"/>
          <w:sz w:val="24"/>
          <w:highlight w:val="none"/>
          <w:u w:val="single"/>
        </w:rPr>
        <w:t xml:space="preserve"> 安国辰飞和汉制药有限公司</w:t>
      </w:r>
    </w:p>
    <w:p w14:paraId="4220AB4F">
      <w:pPr>
        <w:spacing w:line="480" w:lineRule="auto"/>
        <w:rPr>
          <w:rFonts w:hint="eastAsia" w:ascii="仿宋" w:hAnsi="仿宋" w:eastAsia="仿宋" w:cs="仿宋"/>
          <w:b w:val="0"/>
          <w:bCs w:val="0"/>
          <w:sz w:val="24"/>
          <w:highlight w:val="none"/>
          <w:u w:val="single"/>
        </w:rPr>
      </w:pPr>
      <w:r>
        <w:rPr>
          <w:rFonts w:hint="eastAsia" w:ascii="仿宋" w:hAnsi="仿宋" w:eastAsia="仿宋" w:cs="仿宋"/>
          <w:b/>
          <w:bCs/>
          <w:sz w:val="24"/>
          <w:highlight w:val="none"/>
        </w:rPr>
        <w:t>4.施工单位：</w:t>
      </w:r>
      <w:r>
        <w:rPr>
          <w:rFonts w:hint="eastAsia" w:ascii="仿宋" w:hAnsi="仿宋" w:eastAsia="仿宋" w:cs="仿宋"/>
          <w:b w:val="0"/>
          <w:bCs w:val="0"/>
          <w:sz w:val="24"/>
          <w:highlight w:val="none"/>
          <w:u w:val="single"/>
        </w:rPr>
        <w:t>河北建设集团股份有限公司第四分公司</w:t>
      </w:r>
    </w:p>
    <w:p w14:paraId="238E06A2">
      <w:pPr>
        <w:spacing w:line="480" w:lineRule="auto"/>
        <w:rPr>
          <w:rFonts w:hint="eastAsia" w:ascii="仿宋" w:hAnsi="仿宋" w:eastAsia="仿宋" w:cs="仿宋"/>
          <w:b w:val="0"/>
          <w:bCs w:val="0"/>
          <w:sz w:val="24"/>
          <w:highlight w:val="none"/>
          <w:u w:val="single"/>
        </w:rPr>
      </w:pPr>
      <w:r>
        <w:rPr>
          <w:rFonts w:hint="eastAsia" w:ascii="仿宋" w:hAnsi="仿宋" w:eastAsia="仿宋" w:cs="仿宋"/>
          <w:b/>
          <w:bCs/>
          <w:sz w:val="24"/>
          <w:highlight w:val="none"/>
        </w:rPr>
        <w:t>5.建筑面积：</w:t>
      </w:r>
      <w:r>
        <w:rPr>
          <w:rFonts w:hint="eastAsia" w:ascii="仿宋" w:hAnsi="仿宋" w:eastAsia="仿宋" w:cs="仿宋"/>
          <w:b w:val="0"/>
          <w:bCs w:val="0"/>
          <w:sz w:val="24"/>
          <w:highlight w:val="none"/>
          <w:u w:val="single"/>
          <w:lang w:val="en-US" w:eastAsia="zh-CN"/>
        </w:rPr>
        <w:t>25788.52</w:t>
      </w:r>
      <w:r>
        <w:rPr>
          <w:rFonts w:hint="eastAsia" w:ascii="仿宋" w:hAnsi="仿宋" w:eastAsia="仿宋" w:cs="仿宋"/>
          <w:b w:val="0"/>
          <w:bCs w:val="0"/>
          <w:sz w:val="24"/>
          <w:highlight w:val="none"/>
          <w:u w:val="single"/>
        </w:rPr>
        <w:t>㎡</w:t>
      </w:r>
    </w:p>
    <w:p w14:paraId="0396D7F4">
      <w:pPr>
        <w:spacing w:line="480" w:lineRule="auto"/>
        <w:rPr>
          <w:rFonts w:hint="eastAsia" w:ascii="仿宋" w:hAnsi="仿宋" w:eastAsia="仿宋" w:cs="仿宋"/>
          <w:b w:val="0"/>
          <w:bCs w:val="0"/>
          <w:sz w:val="24"/>
          <w:highlight w:val="none"/>
          <w:u w:val="single"/>
        </w:rPr>
      </w:pPr>
      <w:r>
        <w:rPr>
          <w:rFonts w:hint="eastAsia" w:ascii="仿宋" w:hAnsi="仿宋" w:eastAsia="仿宋" w:cs="仿宋"/>
          <w:b/>
          <w:bCs/>
          <w:sz w:val="24"/>
          <w:highlight w:val="none"/>
        </w:rPr>
        <w:t>6、采购物资明细：</w:t>
      </w:r>
      <w:r>
        <w:rPr>
          <w:rFonts w:hint="eastAsia" w:ascii="仿宋" w:hAnsi="仿宋" w:eastAsia="仿宋" w:cs="仿宋"/>
          <w:b w:val="0"/>
          <w:bCs w:val="0"/>
          <w:sz w:val="24"/>
          <w:highlight w:val="none"/>
          <w:u w:val="single"/>
        </w:rPr>
        <w:t>（见附件）</w:t>
      </w:r>
    </w:p>
    <w:p w14:paraId="5682CADB">
      <w:pPr>
        <w:rPr>
          <w:rFonts w:ascii="宋体"/>
          <w:b/>
          <w:sz w:val="24"/>
          <w:highlight w:val="none"/>
        </w:rPr>
      </w:pPr>
      <w:r>
        <w:rPr>
          <w:rFonts w:hint="eastAsia" w:ascii="宋体"/>
          <w:b/>
          <w:sz w:val="24"/>
          <w:highlight w:val="none"/>
        </w:rPr>
        <w:t>第二条： 招标要求</w:t>
      </w:r>
    </w:p>
    <w:p w14:paraId="45D4898E">
      <w:pPr>
        <w:spacing w:line="480" w:lineRule="auto"/>
        <w:rPr>
          <w:rFonts w:ascii="仿宋" w:hAnsi="仿宋" w:eastAsia="仿宋" w:cs="仿宋"/>
          <w:b/>
          <w:bCs/>
          <w:sz w:val="24"/>
          <w:highlight w:val="none"/>
        </w:rPr>
      </w:pPr>
      <w:r>
        <w:rPr>
          <w:rFonts w:hint="eastAsia" w:ascii="仿宋" w:hAnsi="仿宋" w:eastAsia="仿宋" w:cs="仿宋"/>
          <w:b/>
          <w:bCs/>
          <w:sz w:val="24"/>
          <w:highlight w:val="none"/>
        </w:rPr>
        <w:t xml:space="preserve">1、招标方式： </w:t>
      </w:r>
      <w:r>
        <w:rPr>
          <w:rFonts w:hint="eastAsia" w:ascii="仿宋" w:hAnsi="仿宋" w:eastAsia="仿宋" w:cs="仿宋"/>
          <w:b/>
          <w:bCs/>
          <w:sz w:val="24"/>
          <w:highlight w:val="none"/>
          <w:u w:val="single"/>
        </w:rPr>
        <w:t xml:space="preserve"> </w:t>
      </w:r>
      <w:r>
        <w:rPr>
          <w:rFonts w:hint="eastAsia" w:ascii="仿宋" w:hAnsi="仿宋" w:eastAsia="仿宋" w:cs="仿宋"/>
          <w:b/>
          <w:bCs/>
          <w:sz w:val="24"/>
          <w:highlight w:val="none"/>
          <w:u w:val="single"/>
          <w:lang w:val="en-US" w:eastAsia="zh-CN"/>
        </w:rPr>
        <w:t>公开</w:t>
      </w:r>
      <w:r>
        <w:rPr>
          <w:rFonts w:hint="eastAsia" w:ascii="仿宋" w:hAnsi="仿宋" w:eastAsia="仿宋" w:cs="仿宋"/>
          <w:b/>
          <w:bCs/>
          <w:sz w:val="24"/>
          <w:highlight w:val="none"/>
          <w:u w:val="single"/>
        </w:rPr>
        <w:t xml:space="preserve">招标  </w:t>
      </w:r>
      <w:r>
        <w:rPr>
          <w:rFonts w:hint="eastAsia" w:ascii="仿宋" w:hAnsi="仿宋" w:eastAsia="仿宋" w:cs="仿宋"/>
          <w:b/>
          <w:bCs/>
          <w:sz w:val="24"/>
          <w:highlight w:val="none"/>
        </w:rPr>
        <w:t>。</w:t>
      </w:r>
    </w:p>
    <w:p w14:paraId="44D8FD38">
      <w:pPr>
        <w:spacing w:line="480" w:lineRule="auto"/>
        <w:rPr>
          <w:rFonts w:ascii="仿宋" w:hAnsi="仿宋" w:eastAsia="仿宋" w:cs="仿宋"/>
          <w:sz w:val="24"/>
          <w:highlight w:val="none"/>
        </w:rPr>
      </w:pPr>
      <w:r>
        <w:rPr>
          <w:rFonts w:hint="eastAsia" w:ascii="仿宋" w:hAnsi="仿宋" w:eastAsia="仿宋" w:cs="仿宋"/>
          <w:b/>
          <w:bCs/>
          <w:sz w:val="24"/>
          <w:highlight w:val="none"/>
        </w:rPr>
        <w:t>2、 质量要求</w:t>
      </w:r>
      <w:r>
        <w:rPr>
          <w:rFonts w:hint="eastAsia" w:ascii="仿宋" w:hAnsi="仿宋" w:eastAsia="仿宋" w:cs="仿宋"/>
          <w:sz w:val="24"/>
          <w:highlight w:val="none"/>
        </w:rPr>
        <w:t>：</w:t>
      </w:r>
    </w:p>
    <w:p w14:paraId="6F4485B5">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 进场的钢材必须符合国家标准和行业标准及甲方提出的要求，当以上标准不一致时，以标准较高者为准。热轧光圆钢筋执行GB1499.1-2008、热轧带肋钢筋执行GB/T1499.2-2007、热轧型钢执行 GB/T11263-2017。国家标准如有变动的，以供货时现行的最新国家标准为准。</w:t>
      </w:r>
    </w:p>
    <w:p w14:paraId="7D8884AF">
      <w:pPr>
        <w:spacing w:line="360" w:lineRule="auto"/>
        <w:rPr>
          <w:rFonts w:hint="eastAsia" w:ascii="仿宋" w:hAnsi="仿宋" w:eastAsia="仿宋" w:cs="仿宋"/>
          <w:sz w:val="24"/>
          <w:highlight w:val="none"/>
        </w:rPr>
      </w:pPr>
      <w:r>
        <w:rPr>
          <w:rFonts w:hint="eastAsia" w:ascii="仿宋" w:hAnsi="仿宋" w:eastAsia="仿宋" w:cs="仿宋"/>
          <w:sz w:val="24"/>
          <w:highlight w:val="none"/>
        </w:rPr>
        <w:t>2.2 直条钢材长度、直径应符合国家相关标准，包装整齐；钢材不得出现明显弯曲、扭曲等变形；钢材表面不得有裂纹、折叠、结疤油污；钢材表面可有浮锈(黄锈)，但不得有严重锈蚀(褐红色锈)及锈皮；钢材表面凸块和其它缺陷高度和深度不得大于所在部位尺寸的允许偏差；钢材端头剪切整齐，无飞边、弯头、切头不净等。</w:t>
      </w:r>
    </w:p>
    <w:p w14:paraId="2F292E29">
      <w:pPr>
        <w:spacing w:line="360" w:lineRule="auto"/>
        <w:rPr>
          <w:rFonts w:hint="eastAsia" w:ascii="仿宋" w:hAnsi="仿宋" w:eastAsia="仿宋" w:cs="仿宋"/>
          <w:sz w:val="24"/>
          <w:highlight w:val="none"/>
        </w:rPr>
      </w:pPr>
      <w:r>
        <w:rPr>
          <w:rFonts w:hint="eastAsia" w:ascii="仿宋" w:hAnsi="仿宋" w:eastAsia="仿宋" w:cs="仿宋"/>
          <w:sz w:val="24"/>
          <w:highlight w:val="none"/>
        </w:rPr>
        <w:t>2.3 钢材运卸至现场后，甲方将组织监理等有关人员核查产品合格证和出厂检验报告，对产品的数量、规格、质量进行联合检验（包括现场复试）按有关规定进行见证取样检测。如发现货物的质量、规格、数量与合同及甲方要求（或描述）不符，甲方有权要求乙方无条件立即退场，并由乙方赔偿由此造成的一切损失。</w:t>
      </w:r>
    </w:p>
    <w:p w14:paraId="2CBF6144">
      <w:pPr>
        <w:spacing w:line="360" w:lineRule="auto"/>
        <w:rPr>
          <w:rFonts w:hint="eastAsia" w:ascii="仿宋" w:hAnsi="仿宋" w:eastAsia="仿宋" w:cs="仿宋"/>
          <w:sz w:val="24"/>
          <w:highlight w:val="none"/>
        </w:rPr>
      </w:pPr>
      <w:r>
        <w:rPr>
          <w:rFonts w:hint="eastAsia" w:ascii="仿宋" w:hAnsi="仿宋" w:eastAsia="仿宋" w:cs="仿宋"/>
          <w:sz w:val="24"/>
          <w:highlight w:val="none"/>
        </w:rPr>
        <w:t>2.4 甲方人员及相关部门对货物质量验收合格，并不免除乙方对货物的质量瑕疵担保责任，因货物质量问题在施工中发生安全及质量事故的，乙方应承担全部责任，并赔偿由此给甲方造成的经济损失。</w:t>
      </w:r>
    </w:p>
    <w:p w14:paraId="4D7E6FAD">
      <w:pPr>
        <w:spacing w:line="360" w:lineRule="auto"/>
        <w:rPr>
          <w:rFonts w:hint="eastAsia" w:ascii="仿宋" w:hAnsi="仿宋" w:eastAsia="仿宋" w:cs="仿宋"/>
          <w:sz w:val="24"/>
          <w:highlight w:val="none"/>
        </w:rPr>
      </w:pPr>
      <w:r>
        <w:rPr>
          <w:rFonts w:hint="eastAsia" w:ascii="仿宋" w:hAnsi="仿宋" w:eastAsia="仿宋" w:cs="仿宋"/>
          <w:sz w:val="24"/>
          <w:highlight w:val="none"/>
        </w:rPr>
        <w:t>2.5 钢材每次进场时，乙方应及时向甲方提供钢筋经检验检测机构在有效期内的检验合格证明，包括生产厂家、专业检测单位出具的合格检测报告等，以及提供厂家资质证明文件等一式三份。乙方对提供资料的真实性、有效性、合法性负责，并配合甲方接受政府及上级相关部门的检查。乙方不得以任何理由（不可抗力除外）不提供或延迟提供上述技术资料。</w:t>
      </w:r>
    </w:p>
    <w:p w14:paraId="6BE308EA">
      <w:pPr>
        <w:spacing w:line="360" w:lineRule="auto"/>
        <w:rPr>
          <w:rFonts w:hint="eastAsia" w:ascii="仿宋" w:hAnsi="仿宋" w:eastAsia="仿宋" w:cs="仿宋"/>
          <w:sz w:val="24"/>
          <w:highlight w:val="none"/>
        </w:rPr>
      </w:pPr>
      <w:r>
        <w:rPr>
          <w:rFonts w:hint="eastAsia" w:ascii="仿宋" w:hAnsi="仿宋" w:eastAsia="仿宋" w:cs="仿宋"/>
          <w:sz w:val="24"/>
          <w:highlight w:val="none"/>
        </w:rPr>
        <w:t>2.6 乙方提供的钢材不符合规定的质量、规格要求（甲方及发包人对钢材验收合格并不能免除乙方的质量保证责任），应予以退换，因退换而发生的费用由乙方承担；并赔偿甲方损失。</w:t>
      </w:r>
    </w:p>
    <w:p w14:paraId="11192C5B">
      <w:pPr>
        <w:spacing w:line="360" w:lineRule="auto"/>
        <w:rPr>
          <w:rFonts w:hint="eastAsia" w:ascii="仿宋" w:hAnsi="仿宋" w:eastAsia="仿宋" w:cs="仿宋"/>
          <w:sz w:val="24"/>
          <w:highlight w:val="none"/>
        </w:rPr>
      </w:pPr>
      <w:r>
        <w:rPr>
          <w:rFonts w:hint="eastAsia" w:ascii="仿宋" w:hAnsi="仿宋" w:eastAsia="仿宋" w:cs="仿宋"/>
          <w:sz w:val="24"/>
          <w:highlight w:val="none"/>
        </w:rPr>
        <w:t>2.7 在使用过程中经甲方或政府安全质量监督管理部门发现有产品不合格情形，乙方应承担违约责任，并承担甲方项目因此受到的罚款。</w:t>
      </w:r>
    </w:p>
    <w:p w14:paraId="2CDA2AC0">
      <w:pPr>
        <w:spacing w:line="360" w:lineRule="auto"/>
        <w:rPr>
          <w:rFonts w:hint="eastAsia" w:ascii="仿宋" w:hAnsi="仿宋" w:eastAsia="仿宋" w:cs="仿宋"/>
          <w:sz w:val="24"/>
          <w:highlight w:val="none"/>
        </w:rPr>
      </w:pPr>
      <w:r>
        <w:rPr>
          <w:rFonts w:hint="eastAsia" w:ascii="仿宋" w:hAnsi="仿宋" w:eastAsia="仿宋" w:cs="仿宋"/>
          <w:sz w:val="24"/>
          <w:highlight w:val="none"/>
        </w:rPr>
        <w:t>2.8 因钢材本身质量原因导致的工程建设、检查、竣工交付、用户使用及检测等工作中出现的各种隐患或质量事故所造成的一切后果均由乙方全部承担并赔偿费用。</w:t>
      </w:r>
    </w:p>
    <w:p w14:paraId="76126B72">
      <w:pPr>
        <w:spacing w:line="360" w:lineRule="auto"/>
        <w:rPr>
          <w:rFonts w:hint="eastAsia" w:ascii="仿宋" w:hAnsi="仿宋" w:eastAsia="仿宋" w:cs="仿宋"/>
          <w:sz w:val="24"/>
          <w:highlight w:val="none"/>
        </w:rPr>
      </w:pPr>
      <w:r>
        <w:rPr>
          <w:rFonts w:hint="eastAsia" w:ascii="仿宋" w:hAnsi="仿宋" w:eastAsia="仿宋" w:cs="仿宋"/>
          <w:sz w:val="24"/>
          <w:highlight w:val="none"/>
        </w:rPr>
        <w:t>2.9 如有更换或修理有缺陷的钢材，以达到合同约定的质量和性能，乙方承担一切费用和风险，并承担甲方因此而造成的损失；同时相应延长被更换或修理钢材的质量保证期。</w:t>
      </w:r>
    </w:p>
    <w:p w14:paraId="361DA566">
      <w:pPr>
        <w:widowControl/>
        <w:spacing w:after="50" w:line="320" w:lineRule="atLeast"/>
        <w:jc w:val="left"/>
        <w:rPr>
          <w:rFonts w:ascii="仿宋" w:hAnsi="仿宋" w:eastAsia="仿宋" w:cs="宋体"/>
          <w:b/>
          <w:bCs/>
          <w:color w:val="FF0000"/>
          <w:kern w:val="0"/>
          <w:sz w:val="28"/>
          <w:szCs w:val="28"/>
          <w:highlight w:val="none"/>
        </w:rPr>
      </w:pPr>
      <w:r>
        <w:rPr>
          <w:rFonts w:hint="eastAsia" w:ascii="仿宋" w:hAnsi="仿宋" w:eastAsia="仿宋" w:cs="仿宋"/>
          <w:b/>
          <w:bCs/>
          <w:sz w:val="24"/>
          <w:highlight w:val="none"/>
        </w:rPr>
        <w:t>3、交货日期：</w:t>
      </w:r>
      <w:r>
        <w:rPr>
          <w:rFonts w:hint="eastAsia" w:ascii="仿宋" w:hAnsi="仿宋" w:eastAsia="仿宋" w:cs="仿宋"/>
          <w:sz w:val="24"/>
          <w:highlight w:val="none"/>
          <w:u w:val="single"/>
        </w:rPr>
        <w:t>以项目生产安排为准，产生实际需求前三天通知中标单位。</w:t>
      </w:r>
    </w:p>
    <w:p w14:paraId="794D680E">
      <w:pPr>
        <w:pStyle w:val="8"/>
        <w:rPr>
          <w:rFonts w:ascii="仿宋" w:hAnsi="仿宋" w:eastAsia="仿宋" w:cs="仿宋"/>
          <w:kern w:val="2"/>
          <w:highlight w:val="none"/>
          <w:u w:val="single"/>
        </w:rPr>
      </w:pPr>
      <w:r>
        <w:rPr>
          <w:rFonts w:hint="eastAsia" w:ascii="仿宋" w:hAnsi="仿宋" w:eastAsia="仿宋" w:cs="仿宋"/>
          <w:b/>
          <w:bCs/>
          <w:kern w:val="2"/>
          <w:highlight w:val="none"/>
        </w:rPr>
        <w:t>4、评标办法：</w:t>
      </w:r>
      <w:r>
        <w:rPr>
          <w:rFonts w:hint="eastAsia" w:ascii="仿宋" w:hAnsi="仿宋" w:eastAsia="仿宋" w:cs="仿宋"/>
          <w:kern w:val="2"/>
          <w:highlight w:val="none"/>
        </w:rPr>
        <w:t>本次招标采用的评标方法为 </w:t>
      </w:r>
      <w:r>
        <w:rPr>
          <w:rFonts w:hint="eastAsia" w:ascii="仿宋" w:hAnsi="仿宋" w:eastAsia="仿宋" w:cs="仿宋"/>
          <w:kern w:val="2"/>
          <w:highlight w:val="none"/>
          <w:u w:val="single"/>
        </w:rPr>
        <w:t>合理最低价</w:t>
      </w:r>
      <w:r>
        <w:rPr>
          <w:rFonts w:hint="eastAsia" w:ascii="仿宋" w:hAnsi="仿宋" w:eastAsia="仿宋" w:cs="仿宋"/>
          <w:kern w:val="2"/>
          <w:highlight w:val="none"/>
        </w:rPr>
        <w:t>。</w:t>
      </w:r>
    </w:p>
    <w:p w14:paraId="73770CC0">
      <w:pPr>
        <w:rPr>
          <w:rFonts w:ascii="宋体"/>
          <w:sz w:val="24"/>
          <w:highlight w:val="none"/>
        </w:rPr>
      </w:pPr>
      <w:r>
        <w:rPr>
          <w:rFonts w:hint="eastAsia" w:ascii="宋体"/>
          <w:b/>
          <w:sz w:val="24"/>
          <w:highlight w:val="none"/>
        </w:rPr>
        <w:t>第三条： 投标方应具备的条件</w:t>
      </w:r>
      <w:r>
        <w:rPr>
          <w:rFonts w:hint="eastAsia" w:ascii="宋体"/>
          <w:sz w:val="24"/>
          <w:highlight w:val="none"/>
        </w:rPr>
        <w:t>．</w:t>
      </w:r>
    </w:p>
    <w:p w14:paraId="1FECAE24">
      <w:pPr>
        <w:spacing w:line="360" w:lineRule="auto"/>
        <w:rPr>
          <w:rFonts w:ascii="仿宋" w:hAnsi="仿宋" w:eastAsia="仿宋" w:cs="仿宋"/>
          <w:sz w:val="24"/>
          <w:highlight w:val="none"/>
        </w:rPr>
      </w:pPr>
      <w:r>
        <w:rPr>
          <w:rFonts w:hint="eastAsia" w:ascii="宋体"/>
          <w:sz w:val="24"/>
          <w:highlight w:val="none"/>
        </w:rPr>
        <w:t>1、</w:t>
      </w:r>
      <w:r>
        <w:rPr>
          <w:rFonts w:hint="eastAsia" w:ascii="仿宋" w:hAnsi="仿宋" w:eastAsia="仿宋" w:cs="仿宋"/>
          <w:sz w:val="24"/>
          <w:highlight w:val="none"/>
        </w:rPr>
        <w:t xml:space="preserve"> 投标单位注册资金</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 xml:space="preserve">万  </w:t>
      </w:r>
      <w:r>
        <w:rPr>
          <w:rFonts w:hint="eastAsia" w:ascii="仿宋" w:hAnsi="仿宋" w:eastAsia="仿宋" w:cs="仿宋"/>
          <w:sz w:val="24"/>
          <w:highlight w:val="none"/>
        </w:rPr>
        <w:t>。</w:t>
      </w:r>
    </w:p>
    <w:p w14:paraId="0123161C">
      <w:pPr>
        <w:spacing w:line="360" w:lineRule="auto"/>
        <w:rPr>
          <w:rFonts w:ascii="仿宋" w:hAnsi="仿宋" w:eastAsia="仿宋" w:cs="仿宋"/>
          <w:sz w:val="24"/>
          <w:highlight w:val="none"/>
        </w:rPr>
      </w:pPr>
      <w:r>
        <w:rPr>
          <w:rFonts w:hint="eastAsia" w:ascii="仿宋" w:hAnsi="仿宋" w:eastAsia="仿宋" w:cs="仿宋"/>
          <w:sz w:val="24"/>
          <w:highlight w:val="none"/>
        </w:rPr>
        <w:t>2、 投标单位纳税人主体资格：</w:t>
      </w:r>
      <w:r>
        <w:rPr>
          <w:rFonts w:hint="eastAsia" w:ascii="仿宋" w:hAnsi="仿宋" w:eastAsia="仿宋" w:cs="仿宋"/>
          <w:sz w:val="24"/>
          <w:highlight w:val="none"/>
          <w:u w:val="single"/>
        </w:rPr>
        <w:t>一般纳税人</w:t>
      </w:r>
      <w:r>
        <w:rPr>
          <w:rFonts w:hint="eastAsia" w:ascii="仿宋" w:hAnsi="仿宋" w:eastAsia="仿宋" w:cs="仿宋"/>
          <w:sz w:val="24"/>
          <w:highlight w:val="none"/>
        </w:rPr>
        <w:t xml:space="preserve">。 </w:t>
      </w:r>
    </w:p>
    <w:p w14:paraId="1C37BE99">
      <w:pPr>
        <w:spacing w:line="360" w:lineRule="auto"/>
        <w:rPr>
          <w:rFonts w:ascii="仿宋" w:hAnsi="仿宋" w:eastAsia="仿宋" w:cs="仿宋"/>
          <w:sz w:val="24"/>
          <w:highlight w:val="none"/>
        </w:rPr>
      </w:pPr>
      <w:r>
        <w:rPr>
          <w:rFonts w:hint="eastAsia" w:ascii="仿宋" w:hAnsi="仿宋" w:eastAsia="仿宋" w:cs="仿宋"/>
          <w:sz w:val="24"/>
          <w:highlight w:val="none"/>
        </w:rPr>
        <w:t>3、提供符合施工要求的材料设备的产品检测报告及相关技术资料。</w:t>
      </w:r>
    </w:p>
    <w:p w14:paraId="5C19AD28">
      <w:pPr>
        <w:spacing w:line="360" w:lineRule="auto"/>
        <w:rPr>
          <w:rFonts w:ascii="仿宋" w:hAnsi="仿宋" w:eastAsia="仿宋" w:cs="仿宋"/>
          <w:sz w:val="24"/>
          <w:highlight w:val="none"/>
        </w:rPr>
      </w:pPr>
      <w:r>
        <w:rPr>
          <w:rFonts w:hint="eastAsia" w:ascii="仿宋" w:hAnsi="仿宋" w:eastAsia="仿宋" w:cs="仿宋"/>
          <w:sz w:val="24"/>
          <w:highlight w:val="none"/>
        </w:rPr>
        <w:t>4、投标单位需提供真实、有效的增值税发票，并做到四流一致，“发票流、资金流、合同流、货物流”。</w:t>
      </w:r>
    </w:p>
    <w:p w14:paraId="42277FBF">
      <w:pPr>
        <w:spacing w:line="360" w:lineRule="auto"/>
        <w:rPr>
          <w:rFonts w:ascii="仿宋" w:hAnsi="仿宋" w:eastAsia="仿宋" w:cs="仿宋"/>
          <w:sz w:val="24"/>
          <w:highlight w:val="none"/>
        </w:rPr>
      </w:pPr>
      <w:r>
        <w:rPr>
          <w:rFonts w:hint="eastAsia" w:ascii="仿宋" w:hAnsi="仿宋" w:eastAsia="仿宋" w:cs="仿宋"/>
          <w:sz w:val="24"/>
          <w:highlight w:val="none"/>
        </w:rPr>
        <w:t>5、投标单位非招标方黑名单企业。</w:t>
      </w:r>
    </w:p>
    <w:p w14:paraId="660233A7">
      <w:pPr>
        <w:spacing w:line="360" w:lineRule="auto"/>
        <w:rPr>
          <w:rFonts w:ascii="仿宋" w:hAnsi="仿宋" w:eastAsia="仿宋" w:cs="仿宋"/>
          <w:sz w:val="24"/>
          <w:highlight w:val="none"/>
        </w:rPr>
      </w:pPr>
      <w:r>
        <w:rPr>
          <w:rFonts w:hint="eastAsia" w:ascii="仿宋" w:hAnsi="仿宋" w:eastAsia="仿宋" w:cs="仿宋"/>
          <w:sz w:val="24"/>
          <w:highlight w:val="none"/>
        </w:rPr>
        <w:t>6、本项目不接受联合体投标。</w:t>
      </w:r>
    </w:p>
    <w:p w14:paraId="430C1BFD">
      <w:pPr>
        <w:spacing w:line="360" w:lineRule="auto"/>
        <w:rPr>
          <w:rFonts w:ascii="仿宋" w:hAnsi="仿宋" w:eastAsia="仿宋" w:cs="仿宋"/>
          <w:sz w:val="24"/>
          <w:highlight w:val="none"/>
        </w:rPr>
      </w:pPr>
      <w:r>
        <w:rPr>
          <w:rFonts w:hint="eastAsia" w:ascii="仿宋" w:hAnsi="仿宋" w:eastAsia="仿宋" w:cs="仿宋"/>
          <w:sz w:val="24"/>
          <w:highlight w:val="none"/>
        </w:rPr>
        <w:t>7</w:t>
      </w:r>
      <w:r>
        <w:rPr>
          <w:rFonts w:ascii="仿宋" w:hAnsi="仿宋" w:eastAsia="仿宋" w:cs="仿宋"/>
          <w:sz w:val="24"/>
          <w:highlight w:val="none"/>
        </w:rPr>
        <w:t>.</w:t>
      </w:r>
      <w:r>
        <w:rPr>
          <w:rFonts w:hint="eastAsia" w:ascii="仿宋" w:hAnsi="仿宋" w:eastAsia="仿宋" w:cs="仿宋"/>
          <w:sz w:val="24"/>
          <w:highlight w:val="none"/>
        </w:rPr>
        <w:t>入围《集采供应商名录》</w:t>
      </w:r>
    </w:p>
    <w:p w14:paraId="16C2E540">
      <w:pPr>
        <w:rPr>
          <w:rFonts w:ascii="宋体"/>
          <w:b/>
          <w:sz w:val="24"/>
          <w:highlight w:val="none"/>
        </w:rPr>
      </w:pPr>
      <w:r>
        <w:rPr>
          <w:rFonts w:hint="eastAsia" w:ascii="宋体"/>
          <w:b/>
          <w:sz w:val="24"/>
          <w:highlight w:val="none"/>
        </w:rPr>
        <w:t>第四条： 报价要求</w:t>
      </w:r>
    </w:p>
    <w:p w14:paraId="67F2058C">
      <w:pPr>
        <w:numPr>
          <w:ilvl w:val="0"/>
          <w:numId w:val="1"/>
        </w:num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本次招标预算暂估总量为</w:t>
      </w:r>
      <w:r>
        <w:rPr>
          <w:rFonts w:hint="eastAsia" w:ascii="仿宋" w:hAnsi="仿宋" w:eastAsia="仿宋" w:cs="仿宋"/>
          <w:b/>
          <w:bCs/>
          <w:sz w:val="24"/>
          <w:highlight w:val="none"/>
          <w:u w:val="single"/>
          <w:lang w:val="en-US" w:eastAsia="zh-CN"/>
        </w:rPr>
        <w:t>30</w:t>
      </w:r>
      <w:r>
        <w:rPr>
          <w:rFonts w:hint="eastAsia" w:ascii="仿宋" w:hAnsi="仿宋" w:eastAsia="仿宋" w:cs="仿宋"/>
          <w:b/>
          <w:bCs/>
          <w:sz w:val="24"/>
          <w:highlight w:val="none"/>
          <w:u w:val="single"/>
        </w:rPr>
        <w:t>吨</w:t>
      </w:r>
      <w:r>
        <w:rPr>
          <w:rFonts w:hint="eastAsia" w:ascii="仿宋" w:hAnsi="仿宋" w:eastAsia="仿宋" w:cs="仿宋"/>
          <w:sz w:val="24"/>
          <w:highlight w:val="none"/>
          <w:u w:val="single"/>
        </w:rPr>
        <w:t>。</w:t>
      </w:r>
      <w:r>
        <w:rPr>
          <w:rFonts w:hint="eastAsia" w:ascii="仿宋" w:hAnsi="仿宋" w:eastAsia="仿宋" w:cs="仿宋"/>
          <w:sz w:val="24"/>
          <w:highlight w:val="none"/>
        </w:rPr>
        <w:t>（项目暂估数量）</w:t>
      </w:r>
    </w:p>
    <w:p w14:paraId="4793E51D">
      <w:pPr>
        <w:keepNext w:val="0"/>
        <w:keepLines w:val="0"/>
        <w:widowControl/>
        <w:suppressLineNumbers w:val="0"/>
        <w:jc w:val="left"/>
        <w:rPr>
          <w:rFonts w:hint="eastAsia" w:ascii="仿宋" w:hAnsi="仿宋" w:eastAsia="仿宋" w:cs="仿宋"/>
          <w:sz w:val="24"/>
          <w:highlight w:val="none"/>
          <w:u w:val="single"/>
          <w:lang w:val="en-US" w:eastAsia="zh-CN"/>
        </w:rPr>
      </w:pPr>
      <w:r>
        <w:rPr>
          <w:rFonts w:hint="eastAsia" w:ascii="仿宋" w:hAnsi="仿宋" w:eastAsia="仿宋" w:cs="仿宋"/>
          <w:sz w:val="24"/>
          <w:highlight w:val="none"/>
          <w:lang w:val="en-US" w:eastAsia="zh-CN"/>
        </w:rPr>
        <w:t>品牌</w:t>
      </w:r>
      <w:r>
        <w:rPr>
          <w:rFonts w:hint="eastAsia" w:ascii="仿宋" w:hAnsi="仿宋" w:eastAsia="仿宋" w:cs="仿宋"/>
          <w:sz w:val="24"/>
          <w:highlight w:val="none"/>
        </w:rPr>
        <w:t>要求：</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w:t>
      </w:r>
    </w:p>
    <w:p w14:paraId="0CB66420">
      <w:pPr>
        <w:numPr>
          <w:ilvl w:val="0"/>
          <w:numId w:val="1"/>
        </w:numPr>
        <w:snapToGrid w:val="0"/>
        <w:spacing w:line="360" w:lineRule="auto"/>
        <w:rPr>
          <w:rFonts w:hint="eastAsia" w:ascii="仿宋" w:hAnsi="仿宋" w:eastAsia="仿宋" w:cs="仿宋"/>
          <w:sz w:val="24"/>
          <w:highlight w:val="none"/>
          <w:u w:val="single"/>
          <w:lang w:eastAsia="zh-CN"/>
        </w:rPr>
      </w:pPr>
      <w:r>
        <w:rPr>
          <w:rFonts w:hint="eastAsia" w:ascii="仿宋" w:hAnsi="仿宋" w:eastAsia="仿宋" w:cs="仿宋"/>
          <w:sz w:val="24"/>
          <w:highlight w:val="none"/>
        </w:rPr>
        <w:t>报价要求：</w:t>
      </w:r>
      <w:r>
        <w:rPr>
          <w:rFonts w:hint="eastAsia" w:ascii="仿宋" w:hAnsi="仿宋" w:eastAsia="仿宋" w:cs="仿宋"/>
          <w:sz w:val="24"/>
          <w:highlight w:val="none"/>
          <w:u w:val="single"/>
        </w:rPr>
        <w:t>①计量单位为“元/t”；②含税单价为含增值税一票制价格，包含运费、卸车费、税金（13%）等一切费用；③本次招标含税单价为</w:t>
      </w:r>
      <w:r>
        <w:rPr>
          <w:rFonts w:hint="eastAsia" w:ascii="仿宋" w:hAnsi="仿宋" w:eastAsia="仿宋" w:cs="仿宋"/>
          <w:sz w:val="24"/>
          <w:highlight w:val="none"/>
          <w:u w:val="single"/>
          <w:lang w:val="en-US" w:eastAsia="zh-CN"/>
        </w:rPr>
        <w:t>浮动价格</w:t>
      </w:r>
      <w:r>
        <w:rPr>
          <w:rFonts w:hint="eastAsia" w:ascii="仿宋" w:hAnsi="仿宋" w:eastAsia="仿宋" w:cs="仿宋"/>
          <w:sz w:val="24"/>
          <w:highlight w:val="none"/>
          <w:u w:val="single"/>
        </w:rPr>
        <w:t>，实际结算单价以实际订货当天第一次的“兰格网北京城市建筑钢材市场行情批量价格”为基准单价</w:t>
      </w:r>
      <w:r>
        <w:rPr>
          <w:rFonts w:hint="eastAsia" w:ascii="仿宋" w:hAnsi="仿宋" w:eastAsia="仿宋" w:cs="仿宋"/>
          <w:b/>
          <w:bCs/>
          <w:color w:val="FF0000"/>
          <w:sz w:val="24"/>
          <w:highlight w:val="none"/>
          <w:u w:val="single"/>
          <w:lang w:eastAsia="zh-CN"/>
        </w:rPr>
        <w:t>（</w:t>
      </w:r>
      <w:r>
        <w:rPr>
          <w:rFonts w:hint="eastAsia" w:ascii="仿宋" w:hAnsi="仿宋" w:eastAsia="仿宋" w:cs="仿宋"/>
          <w:b/>
          <w:bCs/>
          <w:color w:val="FF0000"/>
          <w:sz w:val="24"/>
          <w:highlight w:val="none"/>
          <w:u w:val="single"/>
        </w:rPr>
        <w:t>如遇周六、日或节假日，则按节前一天上午12点前最后一次价格执行</w:t>
      </w:r>
      <w:r>
        <w:rPr>
          <w:rFonts w:hint="eastAsia" w:ascii="仿宋" w:hAnsi="仿宋" w:eastAsia="仿宋" w:cs="仿宋"/>
          <w:b/>
          <w:bCs/>
          <w:color w:val="FF0000"/>
          <w:sz w:val="24"/>
          <w:highlight w:val="none"/>
          <w:u w:val="single"/>
          <w:lang w:eastAsia="zh-CN"/>
        </w:rPr>
        <w:t>）</w:t>
      </w:r>
      <w:r>
        <w:rPr>
          <w:rFonts w:hint="eastAsia" w:ascii="仿宋" w:hAnsi="仿宋" w:eastAsia="仿宋" w:cs="仿宋"/>
          <w:sz w:val="24"/>
          <w:highlight w:val="none"/>
          <w:u w:val="single"/>
        </w:rPr>
        <w:t>+浮动单价计算；④浮动单价为投标竞争价格</w:t>
      </w:r>
      <w:r>
        <w:rPr>
          <w:rFonts w:hint="eastAsia" w:ascii="仿宋" w:hAnsi="仿宋" w:eastAsia="仿宋" w:cs="仿宋"/>
          <w:sz w:val="24"/>
          <w:highlight w:val="none"/>
          <w:u w:val="single"/>
          <w:lang w:eastAsia="zh-CN"/>
        </w:rPr>
        <w:t>，</w:t>
      </w:r>
      <w:r>
        <w:rPr>
          <w:rFonts w:hint="eastAsia" w:ascii="仿宋" w:hAnsi="仿宋" w:eastAsia="仿宋" w:cs="仿宋"/>
          <w:b/>
          <w:bCs/>
          <w:color w:val="FF0000"/>
          <w:sz w:val="24"/>
          <w:highlight w:val="none"/>
          <w:u w:val="single"/>
        </w:rPr>
        <w:t>上浮为正，下浮为负，不浮动为零</w:t>
      </w:r>
      <w:r>
        <w:rPr>
          <w:rFonts w:hint="eastAsia" w:ascii="仿宋" w:hAnsi="仿宋" w:eastAsia="仿宋" w:cs="仿宋"/>
          <w:sz w:val="24"/>
          <w:highlight w:val="none"/>
          <w:u w:val="single"/>
        </w:rPr>
        <w:t>；⑤各种规格</w:t>
      </w:r>
      <w:r>
        <w:rPr>
          <w:rFonts w:hint="eastAsia" w:ascii="仿宋" w:hAnsi="仿宋" w:eastAsia="仿宋" w:cs="仿宋"/>
          <w:sz w:val="24"/>
          <w:highlight w:val="none"/>
          <w:u w:val="single"/>
          <w:lang w:val="en-US" w:eastAsia="zh-CN"/>
        </w:rPr>
        <w:t>钢筋</w:t>
      </w:r>
      <w:r>
        <w:rPr>
          <w:rFonts w:hint="eastAsia" w:ascii="仿宋" w:hAnsi="仿宋" w:eastAsia="仿宋" w:cs="仿宋"/>
          <w:sz w:val="24"/>
          <w:highlight w:val="none"/>
          <w:u w:val="single"/>
        </w:rPr>
        <w:t>的浮动单价，必须相同；此要求为废标条件，不响应的，做废标处理。 </w:t>
      </w:r>
    </w:p>
    <w:p w14:paraId="05B52381">
      <w:pPr>
        <w:rPr>
          <w:rFonts w:hint="eastAsia" w:ascii="宋体"/>
          <w:b/>
          <w:sz w:val="24"/>
          <w:highlight w:val="none"/>
        </w:rPr>
      </w:pPr>
      <w:r>
        <w:rPr>
          <w:rFonts w:hint="eastAsia" w:ascii="宋体"/>
          <w:b/>
          <w:sz w:val="24"/>
          <w:highlight w:val="none"/>
        </w:rPr>
        <w:t>第五条： 结算方式</w:t>
      </w:r>
    </w:p>
    <w:p w14:paraId="20F0BCC8">
      <w:pPr>
        <w:spacing w:line="360" w:lineRule="auto"/>
        <w:rPr>
          <w:rFonts w:hint="eastAsia" w:ascii="仿宋" w:hAnsi="仿宋" w:eastAsia="仿宋" w:cs="仿宋"/>
          <w:sz w:val="24"/>
          <w:highlight w:val="none"/>
          <w:u w:val="single"/>
          <w:lang w:val="en-US" w:eastAsia="zh-CN"/>
        </w:rPr>
      </w:pPr>
      <w:r>
        <w:rPr>
          <w:rFonts w:hint="eastAsia" w:ascii="宋体" w:hAnsi="宋体" w:cs="宋体"/>
          <w:i w:val="0"/>
          <w:iCs w:val="0"/>
          <w:caps w:val="0"/>
          <w:color w:val="000000"/>
          <w:spacing w:val="0"/>
          <w:sz w:val="24"/>
          <w:szCs w:val="24"/>
          <w:u w:val="none"/>
          <w:shd w:val="clear" w:fill="FFFFFF"/>
          <w:lang w:val="en-US" w:eastAsia="zh-CN"/>
        </w:rPr>
        <w:t>1、</w:t>
      </w:r>
      <w:r>
        <w:rPr>
          <w:rFonts w:hint="eastAsia" w:ascii="仿宋" w:hAnsi="仿宋" w:eastAsia="仿宋" w:cs="仿宋"/>
          <w:sz w:val="24"/>
          <w:highlight w:val="none"/>
          <w:lang w:val="en-US" w:eastAsia="zh-CN"/>
        </w:rPr>
        <w:t>结算方式：</w:t>
      </w:r>
      <w:r>
        <w:rPr>
          <w:rFonts w:hint="eastAsia" w:ascii="仿宋" w:hAnsi="仿宋" w:eastAsia="仿宋" w:cs="仿宋"/>
          <w:sz w:val="24"/>
          <w:highlight w:val="none"/>
          <w:u w:val="single"/>
          <w:lang w:val="en-US" w:eastAsia="zh-CN"/>
        </w:rPr>
        <w:t>货物运输至甲方指定地点后，双方对标的物品种、型号、规格、数量、相关单证进行验收。如品种、型号、规格、相关单证不符合要求时，乙方应按照甲方要求退货或予以更换处理，由此发生的费用和损失均由乙方承担。经甲方检验合格后，双方共同签认的送货单作为双方结算的唯一依据；除此之外的任何证明、收条、欠条、信函等文件，都不得作为结算依据。</w:t>
      </w:r>
    </w:p>
    <w:p w14:paraId="60F431FA">
      <w:pPr>
        <w:rPr>
          <w:rFonts w:hint="eastAsia" w:ascii="宋体"/>
          <w:b/>
          <w:sz w:val="24"/>
          <w:highlight w:val="none"/>
        </w:rPr>
      </w:pPr>
      <w:r>
        <w:rPr>
          <w:rFonts w:hint="eastAsia" w:ascii="宋体"/>
          <w:b/>
          <w:sz w:val="24"/>
          <w:highlight w:val="none"/>
        </w:rPr>
        <w:t>第六条： 付款方式</w:t>
      </w:r>
    </w:p>
    <w:p w14:paraId="130FE3DE">
      <w:pPr>
        <w:spacing w:line="360" w:lineRule="auto"/>
        <w:rPr>
          <w:rFonts w:ascii="宋体" w:hAnsi="宋体" w:cs="宋体"/>
          <w:sz w:val="24"/>
          <w:highlight w:val="none"/>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仿宋" w:hAnsi="仿宋" w:eastAsia="仿宋" w:cs="仿宋"/>
          <w:sz w:val="24"/>
          <w:highlight w:val="none"/>
          <w:lang w:val="en-US" w:eastAsia="zh-CN"/>
        </w:rPr>
        <w:t>支付方式：</w:t>
      </w:r>
      <w:r>
        <w:rPr>
          <w:rFonts w:hint="eastAsia" w:ascii="仿宋" w:hAnsi="仿宋" w:eastAsia="仿宋" w:cs="仿宋"/>
          <w:sz w:val="24"/>
          <w:highlight w:val="none"/>
          <w:u w:val="single"/>
        </w:rPr>
        <w:t>甲方采用银行电汇</w:t>
      </w:r>
      <w:r>
        <w:rPr>
          <w:rFonts w:hint="eastAsia" w:ascii="仿宋" w:hAnsi="仿宋" w:eastAsia="仿宋" w:cs="仿宋"/>
          <w:sz w:val="24"/>
          <w:highlight w:val="none"/>
          <w:u w:val="single"/>
          <w:lang w:val="en-US" w:eastAsia="zh-CN"/>
        </w:rPr>
        <w:t>或支票</w:t>
      </w:r>
      <w:r>
        <w:rPr>
          <w:rFonts w:hint="eastAsia" w:ascii="仿宋" w:hAnsi="仿宋" w:eastAsia="仿宋" w:cs="仿宋"/>
          <w:sz w:val="24"/>
          <w:highlight w:val="none"/>
          <w:u w:val="single"/>
        </w:rPr>
        <w:t>的方式支付货款；</w:t>
      </w:r>
      <w:r>
        <w:rPr>
          <w:rFonts w:hint="eastAsia" w:ascii="仿宋" w:hAnsi="仿宋" w:eastAsia="仿宋" w:cs="仿宋"/>
          <w:sz w:val="24"/>
          <w:highlight w:val="none"/>
          <w:u w:val="single"/>
          <w:lang w:val="en-US" w:eastAsia="zh-CN"/>
        </w:rPr>
        <w:t>乙方货物到场后</w:t>
      </w:r>
      <w:r>
        <w:rPr>
          <w:rFonts w:hint="eastAsia" w:ascii="仿宋" w:hAnsi="仿宋" w:eastAsia="仿宋" w:cs="仿宋"/>
          <w:sz w:val="24"/>
          <w:highlight w:val="none"/>
          <w:u w:val="single"/>
        </w:rPr>
        <w:t>，</w:t>
      </w:r>
      <w:r>
        <w:rPr>
          <w:rFonts w:hint="eastAsia" w:ascii="仿宋" w:hAnsi="仿宋" w:eastAsia="仿宋" w:cs="仿宋"/>
          <w:sz w:val="24"/>
          <w:highlight w:val="none"/>
          <w:u w:val="single"/>
          <w:lang w:val="en-US" w:eastAsia="zh-CN"/>
        </w:rPr>
        <w:t>甲、乙双方对账，</w:t>
      </w:r>
      <w:r>
        <w:rPr>
          <w:rFonts w:hint="eastAsia" w:ascii="仿宋" w:hAnsi="仿宋" w:eastAsia="仿宋" w:cs="仿宋"/>
          <w:sz w:val="24"/>
          <w:highlight w:val="none"/>
          <w:u w:val="single"/>
        </w:rPr>
        <w:t>乙方开具13%的等价增值税专用发票，甲方于</w:t>
      </w:r>
      <w:r>
        <w:rPr>
          <w:rFonts w:hint="eastAsia" w:ascii="仿宋" w:hAnsi="仿宋" w:eastAsia="仿宋" w:cs="仿宋"/>
          <w:sz w:val="24"/>
          <w:highlight w:val="none"/>
          <w:u w:val="single"/>
          <w:lang w:val="en-US" w:eastAsia="zh-CN"/>
        </w:rPr>
        <w:t>该批次货物到场后45天</w:t>
      </w:r>
      <w:r>
        <w:rPr>
          <w:rFonts w:hint="eastAsia" w:ascii="仿宋" w:hAnsi="仿宋" w:eastAsia="仿宋" w:cs="仿宋"/>
          <w:sz w:val="24"/>
          <w:highlight w:val="none"/>
          <w:u w:val="single"/>
        </w:rPr>
        <w:t>之</w:t>
      </w:r>
      <w:r>
        <w:rPr>
          <w:rFonts w:hint="eastAsia" w:ascii="仿宋" w:hAnsi="仿宋" w:eastAsia="仿宋" w:cs="仿宋"/>
          <w:sz w:val="24"/>
          <w:highlight w:val="none"/>
          <w:u w:val="single"/>
          <w:lang w:val="en-US" w:eastAsia="zh-CN"/>
        </w:rPr>
        <w:t>内</w:t>
      </w:r>
      <w:r>
        <w:rPr>
          <w:rFonts w:hint="eastAsia" w:ascii="仿宋" w:hAnsi="仿宋" w:eastAsia="仿宋" w:cs="仿宋"/>
          <w:sz w:val="24"/>
          <w:highlight w:val="none"/>
          <w:u w:val="single"/>
        </w:rPr>
        <w:t>支付双方确认金额的100%</w:t>
      </w:r>
      <w:r>
        <w:rPr>
          <w:rFonts w:hint="eastAsia" w:ascii="仿宋" w:hAnsi="仿宋" w:eastAsia="仿宋" w:cs="仿宋"/>
          <w:sz w:val="24"/>
          <w:highlight w:val="none"/>
          <w:u w:val="single"/>
          <w:lang w:eastAsia="zh-CN"/>
        </w:rPr>
        <w:t>，</w:t>
      </w:r>
      <w:r>
        <w:rPr>
          <w:rFonts w:hint="eastAsia" w:ascii="仿宋" w:hAnsi="仿宋" w:eastAsia="仿宋" w:cs="仿宋"/>
          <w:sz w:val="24"/>
          <w:highlight w:val="none"/>
          <w:u w:val="single"/>
          <w:lang w:val="en-US" w:eastAsia="zh-CN"/>
        </w:rPr>
        <w:t>依次类推</w:t>
      </w:r>
      <w:r>
        <w:rPr>
          <w:rFonts w:hint="eastAsia" w:ascii="仿宋" w:hAnsi="仿宋" w:eastAsia="仿宋" w:cs="仿宋"/>
          <w:sz w:val="24"/>
          <w:highlight w:val="none"/>
          <w:u w:val="single"/>
        </w:rPr>
        <w:t>。</w:t>
      </w:r>
    </w:p>
    <w:p w14:paraId="1C262FA8">
      <w:pPr>
        <w:rPr>
          <w:rFonts w:ascii="宋体" w:hAnsi="宋体" w:cs="宋体"/>
          <w:b/>
          <w:sz w:val="24"/>
          <w:highlight w:val="none"/>
        </w:rPr>
      </w:pPr>
      <w:r>
        <w:rPr>
          <w:rFonts w:hint="eastAsia" w:ascii="宋体" w:hAnsi="宋体" w:cs="宋体"/>
          <w:b/>
          <w:sz w:val="24"/>
          <w:highlight w:val="none"/>
        </w:rPr>
        <w:t>第七条： 投标须知</w:t>
      </w:r>
    </w:p>
    <w:p w14:paraId="5B5E406D">
      <w:pPr>
        <w:spacing w:line="360" w:lineRule="auto"/>
        <w:rPr>
          <w:rFonts w:hint="eastAsia" w:ascii="仿宋" w:hAnsi="仿宋" w:eastAsia="仿宋" w:cs="仿宋"/>
          <w:sz w:val="24"/>
          <w:highlight w:val="none"/>
          <w:lang w:val="en-US" w:eastAsia="zh-CN"/>
        </w:rPr>
      </w:pPr>
      <w:bookmarkStart w:id="0" w:name="_Hlk75267657"/>
      <w:r>
        <w:rPr>
          <w:rFonts w:hint="eastAsia" w:ascii="仿宋" w:hAnsi="仿宋" w:eastAsia="仿宋" w:cs="仿宋"/>
          <w:sz w:val="24"/>
          <w:highlight w:val="none"/>
          <w:lang w:val="en-US" w:eastAsia="zh-CN"/>
        </w:rPr>
        <w:t>1、</w:t>
      </w:r>
      <w:r>
        <w:rPr>
          <w:rFonts w:hint="eastAsia" w:ascii="仿宋" w:hAnsi="仿宋" w:eastAsia="仿宋" w:cs="仿宋"/>
          <w:sz w:val="24"/>
          <w:highlight w:val="none"/>
        </w:rPr>
        <w:t>本次招标采用云采平台开标。请投标人在递交截止时间之前在云采平台进行报价。</w:t>
      </w:r>
      <w:bookmarkEnd w:id="0"/>
      <w:r>
        <w:rPr>
          <w:rFonts w:hint="eastAsia" w:ascii="仿宋" w:hAnsi="仿宋" w:eastAsia="仿宋" w:cs="仿宋"/>
          <w:sz w:val="24"/>
          <w:highlight w:val="none"/>
        </w:rPr>
        <w:t>投标网址：施工云采网：</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"http://www.zgsgycw.com/"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http://www.zgsgycw.com/</w:t>
      </w:r>
      <w:r>
        <w:rPr>
          <w:rFonts w:hint="eastAsia" w:ascii="仿宋" w:hAnsi="仿宋" w:eastAsia="仿宋" w:cs="仿宋"/>
          <w:sz w:val="24"/>
          <w:highlight w:val="none"/>
        </w:rPr>
        <w:fldChar w:fldCharType="end"/>
      </w:r>
    </w:p>
    <w:p w14:paraId="188369E1">
      <w:pPr>
        <w:spacing w:line="360" w:lineRule="auto"/>
        <w:rPr>
          <w:rFonts w:hint="eastAsia" w:ascii="仿宋" w:hAnsi="仿宋" w:eastAsia="仿宋" w:cs="仿宋"/>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答疑、澄清、变更--投标人在投标截止时间前可在云采网对招标文件提出相关疑问。招标人对投标人提出的疑问做出澄清或修改，并作为招标文件的组成部分，具有约束作用。</w:t>
      </w:r>
    </w:p>
    <w:p w14:paraId="5E85CD21">
      <w:pPr>
        <w:spacing w:line="360" w:lineRule="auto"/>
        <w:rPr>
          <w:rFonts w:ascii="仿宋" w:hAnsi="仿宋" w:eastAsia="仿宋" w:cs="仿宋"/>
          <w:sz w:val="24"/>
          <w:highlight w:val="none"/>
        </w:rPr>
      </w:pPr>
      <w:r>
        <w:rPr>
          <w:rFonts w:hint="eastAsia" w:ascii="仿宋" w:hAnsi="仿宋" w:eastAsia="仿宋" w:cs="仿宋"/>
          <w:sz w:val="24"/>
          <w:highlight w:val="none"/>
        </w:rPr>
        <w:t>3、有下列情况之一的，投标书视为无效标（即废标）。</w:t>
      </w:r>
    </w:p>
    <w:p w14:paraId="4EBD7EEC">
      <w:pPr>
        <w:widowControl/>
        <w:spacing w:after="50" w:line="320" w:lineRule="atLeas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w:t>
      </w:r>
      <w:r>
        <w:rPr>
          <w:rFonts w:ascii="仿宋" w:hAnsi="仿宋" w:eastAsia="仿宋" w:cs="仿宋"/>
          <w:sz w:val="24"/>
          <w:highlight w:val="none"/>
        </w:rPr>
        <w:t>投标人</w:t>
      </w:r>
      <w:r>
        <w:rPr>
          <w:rFonts w:hint="eastAsia" w:ascii="仿宋" w:hAnsi="仿宋" w:eastAsia="仿宋" w:cs="仿宋"/>
          <w:sz w:val="24"/>
          <w:highlight w:val="none"/>
        </w:rPr>
        <w:t>未在《集采供应商名录》内</w:t>
      </w:r>
      <w:r>
        <w:rPr>
          <w:rFonts w:ascii="仿宋" w:hAnsi="仿宋" w:eastAsia="仿宋" w:cs="仿宋"/>
          <w:sz w:val="24"/>
          <w:highlight w:val="none"/>
        </w:rPr>
        <w:t xml:space="preserve">的； </w:t>
      </w:r>
    </w:p>
    <w:p w14:paraId="76D8116B">
      <w:pPr>
        <w:widowControl/>
        <w:spacing w:after="50" w:line="320" w:lineRule="atLeast"/>
        <w:ind w:firstLine="480" w:firstLineChars="200"/>
        <w:jc w:val="left"/>
        <w:rPr>
          <w:rFonts w:ascii="仿宋" w:hAnsi="仿宋" w:eastAsia="仿宋" w:cs="仿宋"/>
          <w:sz w:val="24"/>
          <w:highlight w:val="none"/>
        </w:rPr>
      </w:pPr>
      <w:r>
        <w:rPr>
          <w:rFonts w:hint="eastAsia" w:ascii="仿宋" w:hAnsi="仿宋" w:eastAsia="仿宋" w:cs="仿宋"/>
          <w:sz w:val="24"/>
          <w:highlight w:val="none"/>
        </w:rPr>
        <w:t>（2）提交的投标文件未对招标文件进行实质性响应的；</w:t>
      </w:r>
    </w:p>
    <w:p w14:paraId="33788D5D">
      <w:pPr>
        <w:widowControl/>
        <w:spacing w:after="50" w:line="320" w:lineRule="atLeast"/>
        <w:ind w:firstLine="480" w:firstLineChars="200"/>
        <w:jc w:val="left"/>
        <w:rPr>
          <w:rFonts w:ascii="仿宋" w:hAnsi="仿宋" w:eastAsia="仿宋" w:cs="仿宋"/>
          <w:sz w:val="24"/>
          <w:highlight w:val="none"/>
        </w:rPr>
      </w:pPr>
      <w:r>
        <w:rPr>
          <w:rFonts w:hint="eastAsia" w:ascii="仿宋" w:hAnsi="仿宋" w:eastAsia="仿宋" w:cs="仿宋"/>
          <w:sz w:val="24"/>
          <w:highlight w:val="none"/>
        </w:rPr>
        <w:t>（3）</w:t>
      </w:r>
      <w:r>
        <w:rPr>
          <w:rFonts w:ascii="仿宋" w:hAnsi="仿宋" w:eastAsia="仿宋" w:cs="仿宋"/>
          <w:sz w:val="24"/>
          <w:highlight w:val="none"/>
        </w:rPr>
        <w:t>投标人恶意串通投标情形的；</w:t>
      </w:r>
    </w:p>
    <w:p w14:paraId="4C732D33">
      <w:pPr>
        <w:widowControl/>
        <w:spacing w:after="50" w:line="320" w:lineRule="atLeas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（4）投标人投标报价经评审判定存在明显故意重大不平衡报价或低于成本价的；</w:t>
      </w:r>
    </w:p>
    <w:p w14:paraId="42832013">
      <w:pPr>
        <w:widowControl/>
        <w:spacing w:after="50" w:line="320" w:lineRule="atLeas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（5）投标截止时间后提交投标报价的；</w:t>
      </w:r>
    </w:p>
    <w:p w14:paraId="367425AC">
      <w:pPr>
        <w:widowControl/>
        <w:spacing w:after="50" w:line="320" w:lineRule="atLeas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（5）在招标中，出现影响采购公正的违法、违规行为的。</w:t>
      </w:r>
    </w:p>
    <w:p w14:paraId="4C6D2A1E">
      <w:pPr>
        <w:spacing w:line="360" w:lineRule="auto"/>
        <w:rPr>
          <w:rFonts w:ascii="仿宋" w:hAnsi="仿宋" w:eastAsia="仿宋" w:cs="仿宋"/>
          <w:sz w:val="24"/>
          <w:highlight w:val="none"/>
        </w:rPr>
      </w:pPr>
      <w:r>
        <w:rPr>
          <w:rFonts w:hint="eastAsia" w:ascii="仿宋" w:hAnsi="仿宋" w:eastAsia="仿宋" w:cs="仿宋"/>
          <w:sz w:val="24"/>
          <w:highlight w:val="none"/>
        </w:rPr>
        <w:t>4、投标保证金及返还：</w:t>
      </w:r>
      <w:r>
        <w:rPr>
          <w:rFonts w:hint="eastAsia" w:ascii="仿宋" w:hAnsi="仿宋" w:eastAsia="仿宋" w:cs="仿宋"/>
          <w:sz w:val="24"/>
          <w:highlight w:val="none"/>
          <w:u w:val="single"/>
        </w:rPr>
        <w:t xml:space="preserve">  </w:t>
      </w:r>
      <w:r>
        <w:rPr>
          <w:rFonts w:hint="eastAsia" w:ascii="仿宋" w:hAnsi="仿宋" w:eastAsia="仿宋" w:cs="仿宋"/>
          <w:b/>
          <w:bCs/>
          <w:sz w:val="24"/>
          <w:highlight w:val="none"/>
          <w:u w:val="single"/>
        </w:rPr>
        <w:t xml:space="preserve">无  </w:t>
      </w:r>
    </w:p>
    <w:p w14:paraId="210B9E37">
      <w:pPr>
        <w:rPr>
          <w:rFonts w:ascii="宋体" w:hAnsi="宋体" w:cs="宋体"/>
          <w:b/>
          <w:sz w:val="24"/>
          <w:highlight w:val="none"/>
        </w:rPr>
      </w:pPr>
      <w:r>
        <w:rPr>
          <w:rFonts w:hint="eastAsia" w:ascii="宋体" w:hAnsi="宋体" w:cs="宋体"/>
          <w:b/>
          <w:sz w:val="24"/>
          <w:highlight w:val="none"/>
        </w:rPr>
        <w:t>第八条： 时间要求</w:t>
      </w:r>
    </w:p>
    <w:p w14:paraId="5E4B90D9">
      <w:pPr>
        <w:spacing w:line="360" w:lineRule="auto"/>
        <w:rPr>
          <w:rFonts w:ascii="仿宋" w:hAnsi="仿宋" w:eastAsia="仿宋" w:cs="仿宋"/>
          <w:b/>
          <w:bCs/>
          <w:color w:val="FF0000"/>
          <w:sz w:val="24"/>
          <w:highlight w:val="none"/>
          <w:u w:val="single"/>
        </w:rPr>
      </w:pPr>
      <w:r>
        <w:rPr>
          <w:rFonts w:hint="eastAsia" w:ascii="仿宋" w:hAnsi="仿宋" w:eastAsia="仿宋" w:cs="仿宋"/>
          <w:b w:val="0"/>
          <w:bCs w:val="0"/>
          <w:color w:val="auto"/>
          <w:sz w:val="24"/>
          <w:highlight w:val="none"/>
          <w:u w:val="none"/>
        </w:rPr>
        <w:t>1、供应商报名截止时间：</w:t>
      </w:r>
      <w:r>
        <w:rPr>
          <w:rFonts w:hint="eastAsia" w:ascii="仿宋" w:hAnsi="仿宋" w:eastAsia="仿宋" w:cs="仿宋"/>
          <w:b/>
          <w:bCs/>
          <w:color w:val="FF0000"/>
          <w:sz w:val="24"/>
          <w:highlight w:val="none"/>
          <w:u w:val="single"/>
        </w:rPr>
        <w:t xml:space="preserve">  202</w:t>
      </w:r>
      <w:r>
        <w:rPr>
          <w:rFonts w:hint="eastAsia" w:ascii="仿宋" w:hAnsi="仿宋" w:eastAsia="仿宋" w:cs="仿宋"/>
          <w:b/>
          <w:bCs/>
          <w:color w:val="FF0000"/>
          <w:sz w:val="24"/>
          <w:highlight w:val="none"/>
          <w:u w:val="single"/>
          <w:lang w:val="en-US" w:eastAsia="zh-CN"/>
        </w:rPr>
        <w:t>6</w:t>
      </w:r>
      <w:r>
        <w:rPr>
          <w:rFonts w:hint="eastAsia" w:ascii="仿宋" w:hAnsi="仿宋" w:eastAsia="仿宋" w:cs="仿宋"/>
          <w:b/>
          <w:bCs/>
          <w:color w:val="FF0000"/>
          <w:sz w:val="24"/>
          <w:highlight w:val="none"/>
          <w:u w:val="single"/>
        </w:rPr>
        <w:t xml:space="preserve"> 年</w:t>
      </w:r>
      <w:r>
        <w:rPr>
          <w:rFonts w:hint="eastAsia" w:ascii="仿宋" w:hAnsi="仿宋" w:eastAsia="仿宋" w:cs="仿宋"/>
          <w:b/>
          <w:bCs/>
          <w:color w:val="FF0000"/>
          <w:sz w:val="24"/>
          <w:highlight w:val="none"/>
          <w:u w:val="single"/>
          <w:lang w:val="en-US" w:eastAsia="zh-CN"/>
        </w:rPr>
        <w:t>9</w:t>
      </w:r>
      <w:r>
        <w:rPr>
          <w:rFonts w:hint="eastAsia" w:ascii="仿宋" w:hAnsi="仿宋" w:eastAsia="仿宋" w:cs="仿宋"/>
          <w:b/>
          <w:bCs/>
          <w:color w:val="FF0000"/>
          <w:sz w:val="24"/>
          <w:highlight w:val="none"/>
          <w:u w:val="single"/>
        </w:rPr>
        <w:t>月</w:t>
      </w:r>
      <w:r>
        <w:rPr>
          <w:rFonts w:hint="eastAsia" w:ascii="仿宋" w:hAnsi="仿宋" w:eastAsia="仿宋" w:cs="仿宋"/>
          <w:b/>
          <w:bCs/>
          <w:color w:val="FF0000"/>
          <w:sz w:val="24"/>
          <w:highlight w:val="none"/>
          <w:u w:val="single"/>
          <w:lang w:val="en-US" w:eastAsia="zh-CN"/>
        </w:rPr>
        <w:t>2</w:t>
      </w:r>
      <w:r>
        <w:rPr>
          <w:rFonts w:hint="eastAsia" w:ascii="仿宋" w:hAnsi="仿宋" w:eastAsia="仿宋" w:cs="仿宋"/>
          <w:b/>
          <w:bCs/>
          <w:color w:val="FF0000"/>
          <w:sz w:val="24"/>
          <w:highlight w:val="none"/>
          <w:u w:val="single"/>
        </w:rPr>
        <w:t xml:space="preserve">日 </w:t>
      </w:r>
      <w:r>
        <w:rPr>
          <w:rFonts w:ascii="仿宋" w:hAnsi="仿宋" w:eastAsia="仿宋" w:cs="仿宋"/>
          <w:b/>
          <w:bCs/>
          <w:color w:val="FF0000"/>
          <w:sz w:val="24"/>
          <w:highlight w:val="none"/>
          <w:u w:val="single"/>
        </w:rPr>
        <w:t>1</w:t>
      </w:r>
      <w:r>
        <w:rPr>
          <w:rFonts w:hint="eastAsia" w:ascii="仿宋" w:hAnsi="仿宋" w:eastAsia="仿宋" w:cs="仿宋"/>
          <w:b/>
          <w:bCs/>
          <w:color w:val="FF0000"/>
          <w:sz w:val="24"/>
          <w:highlight w:val="none"/>
          <w:u w:val="single"/>
          <w:lang w:val="en-US" w:eastAsia="zh-CN"/>
        </w:rPr>
        <w:t>1</w:t>
      </w:r>
      <w:r>
        <w:rPr>
          <w:rFonts w:hint="eastAsia" w:ascii="仿宋" w:hAnsi="仿宋" w:eastAsia="仿宋" w:cs="仿宋"/>
          <w:b/>
          <w:bCs/>
          <w:color w:val="FF0000"/>
          <w:sz w:val="24"/>
          <w:highlight w:val="none"/>
          <w:u w:val="single"/>
        </w:rPr>
        <w:t xml:space="preserve"> 时 00 分</w:t>
      </w:r>
    </w:p>
    <w:p w14:paraId="4C1A6C76">
      <w:pPr>
        <w:spacing w:line="360" w:lineRule="auto"/>
        <w:rPr>
          <w:rFonts w:ascii="仿宋" w:hAnsi="仿宋" w:eastAsia="仿宋" w:cs="仿宋"/>
          <w:b/>
          <w:bCs/>
          <w:color w:val="FF0000"/>
          <w:sz w:val="24"/>
          <w:highlight w:val="none"/>
          <w:u w:val="single"/>
        </w:rPr>
      </w:pPr>
      <w:r>
        <w:rPr>
          <w:rFonts w:hint="eastAsia" w:ascii="仿宋" w:hAnsi="仿宋" w:eastAsia="仿宋" w:cs="仿宋"/>
          <w:b w:val="0"/>
          <w:bCs w:val="0"/>
          <w:color w:val="auto"/>
          <w:sz w:val="24"/>
          <w:highlight w:val="none"/>
          <w:u w:val="none"/>
        </w:rPr>
        <w:t>2、投标截止时间：</w:t>
      </w:r>
      <w:r>
        <w:rPr>
          <w:rFonts w:hint="eastAsia" w:ascii="仿宋" w:hAnsi="仿宋" w:eastAsia="仿宋" w:cs="仿宋"/>
          <w:b/>
          <w:bCs/>
          <w:color w:val="FF0000"/>
          <w:sz w:val="24"/>
          <w:highlight w:val="none"/>
          <w:u w:val="single"/>
        </w:rPr>
        <w:t>202</w:t>
      </w:r>
      <w:r>
        <w:rPr>
          <w:rFonts w:hint="eastAsia" w:ascii="仿宋" w:hAnsi="仿宋" w:eastAsia="仿宋" w:cs="仿宋"/>
          <w:b/>
          <w:bCs/>
          <w:color w:val="FF0000"/>
          <w:sz w:val="24"/>
          <w:highlight w:val="none"/>
          <w:u w:val="single"/>
          <w:lang w:val="en-US" w:eastAsia="zh-CN"/>
        </w:rPr>
        <w:t>6</w:t>
      </w:r>
      <w:r>
        <w:rPr>
          <w:rFonts w:hint="eastAsia" w:ascii="仿宋" w:hAnsi="仿宋" w:eastAsia="仿宋" w:cs="仿宋"/>
          <w:b/>
          <w:bCs/>
          <w:color w:val="FF0000"/>
          <w:sz w:val="24"/>
          <w:highlight w:val="none"/>
          <w:u w:val="single"/>
        </w:rPr>
        <w:t xml:space="preserve"> 年 </w:t>
      </w:r>
      <w:r>
        <w:rPr>
          <w:rFonts w:hint="eastAsia" w:ascii="仿宋" w:hAnsi="仿宋" w:eastAsia="仿宋" w:cs="仿宋"/>
          <w:b/>
          <w:bCs/>
          <w:color w:val="FF0000"/>
          <w:sz w:val="24"/>
          <w:highlight w:val="none"/>
          <w:u w:val="single"/>
          <w:lang w:val="en-US" w:eastAsia="zh-CN"/>
        </w:rPr>
        <w:t>9</w:t>
      </w:r>
      <w:r>
        <w:rPr>
          <w:rFonts w:hint="eastAsia" w:ascii="仿宋" w:hAnsi="仿宋" w:eastAsia="仿宋" w:cs="仿宋"/>
          <w:b/>
          <w:bCs/>
          <w:color w:val="FF0000"/>
          <w:sz w:val="24"/>
          <w:highlight w:val="none"/>
          <w:u w:val="single"/>
        </w:rPr>
        <w:t>月</w:t>
      </w:r>
      <w:r>
        <w:rPr>
          <w:rFonts w:hint="eastAsia" w:ascii="仿宋" w:hAnsi="仿宋" w:eastAsia="仿宋" w:cs="仿宋"/>
          <w:b/>
          <w:bCs/>
          <w:color w:val="FF0000"/>
          <w:sz w:val="24"/>
          <w:highlight w:val="none"/>
          <w:u w:val="single"/>
          <w:lang w:val="en-US" w:eastAsia="zh-CN"/>
        </w:rPr>
        <w:t>2</w:t>
      </w:r>
      <w:r>
        <w:rPr>
          <w:rFonts w:hint="eastAsia" w:ascii="仿宋" w:hAnsi="仿宋" w:eastAsia="仿宋" w:cs="仿宋"/>
          <w:b/>
          <w:bCs/>
          <w:color w:val="FF0000"/>
          <w:sz w:val="24"/>
          <w:highlight w:val="none"/>
          <w:u w:val="single"/>
        </w:rPr>
        <w:t>日</w:t>
      </w:r>
      <w:r>
        <w:rPr>
          <w:rFonts w:ascii="仿宋" w:hAnsi="仿宋" w:eastAsia="仿宋" w:cs="仿宋"/>
          <w:b/>
          <w:bCs/>
          <w:color w:val="FF0000"/>
          <w:sz w:val="24"/>
          <w:highlight w:val="none"/>
          <w:u w:val="single"/>
        </w:rPr>
        <w:t>1</w:t>
      </w:r>
      <w:r>
        <w:rPr>
          <w:rFonts w:hint="eastAsia" w:ascii="仿宋" w:hAnsi="仿宋" w:eastAsia="仿宋" w:cs="仿宋"/>
          <w:b/>
          <w:bCs/>
          <w:color w:val="FF0000"/>
          <w:sz w:val="24"/>
          <w:highlight w:val="none"/>
          <w:u w:val="single"/>
          <w:lang w:val="en-US" w:eastAsia="zh-CN"/>
        </w:rPr>
        <w:t>2</w:t>
      </w:r>
      <w:r>
        <w:rPr>
          <w:rFonts w:hint="eastAsia" w:ascii="仿宋" w:hAnsi="仿宋" w:eastAsia="仿宋" w:cs="仿宋"/>
          <w:b/>
          <w:bCs/>
          <w:color w:val="FF0000"/>
          <w:sz w:val="24"/>
          <w:highlight w:val="none"/>
          <w:u w:val="single"/>
        </w:rPr>
        <w:t>时 00 分</w:t>
      </w:r>
    </w:p>
    <w:p w14:paraId="5DAAF77D">
      <w:pPr>
        <w:spacing w:line="360" w:lineRule="auto"/>
        <w:rPr>
          <w:rFonts w:ascii="仿宋" w:hAnsi="仿宋" w:eastAsia="仿宋" w:cs="仿宋"/>
          <w:b/>
          <w:bCs/>
          <w:color w:val="FF0000"/>
          <w:sz w:val="24"/>
          <w:highlight w:val="none"/>
          <w:u w:val="single"/>
        </w:rPr>
      </w:pPr>
      <w:r>
        <w:rPr>
          <w:rFonts w:hint="eastAsia" w:ascii="仿宋" w:hAnsi="仿宋" w:eastAsia="仿宋" w:cs="仿宋"/>
          <w:b w:val="0"/>
          <w:bCs w:val="0"/>
          <w:color w:val="auto"/>
          <w:sz w:val="24"/>
          <w:highlight w:val="none"/>
          <w:u w:val="none"/>
        </w:rPr>
        <w:t>3、开标时间：</w:t>
      </w:r>
      <w:r>
        <w:rPr>
          <w:rFonts w:hint="eastAsia" w:ascii="仿宋" w:hAnsi="仿宋" w:eastAsia="仿宋" w:cs="仿宋"/>
          <w:b/>
          <w:bCs/>
          <w:color w:val="FF0000"/>
          <w:sz w:val="24"/>
          <w:highlight w:val="none"/>
          <w:u w:val="single"/>
        </w:rPr>
        <w:t>202</w:t>
      </w:r>
      <w:r>
        <w:rPr>
          <w:rFonts w:hint="eastAsia" w:ascii="仿宋" w:hAnsi="仿宋" w:eastAsia="仿宋" w:cs="仿宋"/>
          <w:b/>
          <w:bCs/>
          <w:color w:val="FF0000"/>
          <w:sz w:val="24"/>
          <w:highlight w:val="none"/>
          <w:u w:val="single"/>
          <w:lang w:val="en-US" w:eastAsia="zh-CN"/>
        </w:rPr>
        <w:t>6</w:t>
      </w:r>
      <w:r>
        <w:rPr>
          <w:rFonts w:hint="eastAsia" w:ascii="仿宋" w:hAnsi="仿宋" w:eastAsia="仿宋" w:cs="仿宋"/>
          <w:b/>
          <w:bCs/>
          <w:color w:val="FF0000"/>
          <w:sz w:val="24"/>
          <w:highlight w:val="none"/>
          <w:u w:val="single"/>
        </w:rPr>
        <w:t xml:space="preserve">年  </w:t>
      </w:r>
      <w:r>
        <w:rPr>
          <w:rFonts w:hint="eastAsia" w:ascii="仿宋" w:hAnsi="仿宋" w:eastAsia="仿宋" w:cs="仿宋"/>
          <w:b/>
          <w:bCs/>
          <w:color w:val="FF0000"/>
          <w:sz w:val="24"/>
          <w:highlight w:val="none"/>
          <w:u w:val="single"/>
          <w:lang w:val="en-US" w:eastAsia="zh-CN"/>
        </w:rPr>
        <w:t>9</w:t>
      </w:r>
      <w:r>
        <w:rPr>
          <w:rFonts w:hint="eastAsia" w:ascii="仿宋" w:hAnsi="仿宋" w:eastAsia="仿宋" w:cs="仿宋"/>
          <w:b/>
          <w:bCs/>
          <w:color w:val="FF0000"/>
          <w:sz w:val="24"/>
          <w:highlight w:val="none"/>
          <w:u w:val="single"/>
        </w:rPr>
        <w:t>月</w:t>
      </w:r>
      <w:r>
        <w:rPr>
          <w:rFonts w:hint="eastAsia" w:ascii="仿宋" w:hAnsi="仿宋" w:eastAsia="仿宋" w:cs="仿宋"/>
          <w:b/>
          <w:bCs/>
          <w:color w:val="FF0000"/>
          <w:sz w:val="24"/>
          <w:highlight w:val="none"/>
          <w:u w:val="single"/>
          <w:lang w:val="en-US" w:eastAsia="zh-CN"/>
        </w:rPr>
        <w:t>2</w:t>
      </w:r>
      <w:r>
        <w:rPr>
          <w:rFonts w:hint="eastAsia" w:ascii="仿宋" w:hAnsi="仿宋" w:eastAsia="仿宋" w:cs="仿宋"/>
          <w:b/>
          <w:bCs/>
          <w:color w:val="FF0000"/>
          <w:sz w:val="24"/>
          <w:highlight w:val="none"/>
          <w:u w:val="single"/>
        </w:rPr>
        <w:t xml:space="preserve">日 </w:t>
      </w:r>
      <w:r>
        <w:rPr>
          <w:rFonts w:ascii="仿宋" w:hAnsi="仿宋" w:eastAsia="仿宋" w:cs="仿宋"/>
          <w:b/>
          <w:bCs/>
          <w:color w:val="FF0000"/>
          <w:sz w:val="24"/>
          <w:highlight w:val="none"/>
          <w:u w:val="single"/>
        </w:rPr>
        <w:t xml:space="preserve">13 </w:t>
      </w:r>
      <w:r>
        <w:rPr>
          <w:rFonts w:hint="eastAsia" w:ascii="仿宋" w:hAnsi="仿宋" w:eastAsia="仿宋" w:cs="仿宋"/>
          <w:b/>
          <w:bCs/>
          <w:color w:val="FF0000"/>
          <w:sz w:val="24"/>
          <w:highlight w:val="none"/>
          <w:u w:val="single"/>
        </w:rPr>
        <w:t>时 00 分。</w:t>
      </w:r>
    </w:p>
    <w:p w14:paraId="3BF901F5">
      <w:pPr>
        <w:rPr>
          <w:rFonts w:ascii="宋体" w:hAnsi="宋体" w:cs="宋体"/>
          <w:b/>
          <w:sz w:val="24"/>
          <w:highlight w:val="none"/>
        </w:rPr>
      </w:pPr>
      <w:r>
        <w:rPr>
          <w:rFonts w:hint="eastAsia" w:ascii="宋体" w:hAnsi="宋体" w:cs="宋体"/>
          <w:b/>
          <w:sz w:val="24"/>
          <w:highlight w:val="none"/>
        </w:rPr>
        <w:t>第九条： 其它</w:t>
      </w:r>
    </w:p>
    <w:p w14:paraId="40787C39">
      <w:pPr>
        <w:spacing w:line="360" w:lineRule="auto"/>
        <w:rPr>
          <w:rFonts w:ascii="仿宋" w:hAnsi="仿宋" w:eastAsia="仿宋" w:cs="仿宋"/>
          <w:sz w:val="24"/>
          <w:highlight w:val="none"/>
        </w:rPr>
      </w:pPr>
      <w:r>
        <w:rPr>
          <w:rFonts w:hint="eastAsia" w:ascii="仿宋" w:hAnsi="仿宋" w:eastAsia="仿宋" w:cs="仿宋"/>
          <w:sz w:val="24"/>
          <w:highlight w:val="none"/>
        </w:rPr>
        <w:t>1、本招标文件的解释权归</w:t>
      </w:r>
      <w:r>
        <w:rPr>
          <w:rFonts w:hint="eastAsia" w:ascii="仿宋" w:hAnsi="仿宋" w:eastAsia="仿宋" w:cs="仿宋"/>
          <w:sz w:val="24"/>
          <w:highlight w:val="none"/>
          <w:lang w:val="en-US" w:eastAsia="zh-CN"/>
        </w:rPr>
        <w:t>招标人</w:t>
      </w:r>
      <w:r>
        <w:rPr>
          <w:rFonts w:hint="eastAsia" w:ascii="仿宋" w:hAnsi="仿宋" w:eastAsia="仿宋" w:cs="仿宋"/>
          <w:sz w:val="24"/>
          <w:highlight w:val="none"/>
        </w:rPr>
        <w:t>。</w:t>
      </w:r>
    </w:p>
    <w:p w14:paraId="75B8C411">
      <w:pPr>
        <w:spacing w:line="360" w:lineRule="auto"/>
        <w:rPr>
          <w:rFonts w:ascii="仿宋" w:hAnsi="仿宋" w:eastAsia="仿宋" w:cs="仿宋"/>
          <w:sz w:val="24"/>
          <w:highlight w:val="none"/>
        </w:rPr>
      </w:pPr>
      <w:r>
        <w:rPr>
          <w:rFonts w:hint="eastAsia" w:ascii="仿宋" w:hAnsi="仿宋" w:eastAsia="仿宋" w:cs="仿宋"/>
          <w:sz w:val="24"/>
          <w:highlight w:val="none"/>
        </w:rPr>
        <w:t>2、 投标方在货物全部供齐之前，不得因资金问题停止供货，影响正常施工，给招标方</w:t>
      </w:r>
    </w:p>
    <w:p w14:paraId="0EB3A080">
      <w:pPr>
        <w:spacing w:line="360" w:lineRule="auto"/>
        <w:rPr>
          <w:rFonts w:ascii="仿宋" w:hAnsi="仿宋" w:eastAsia="仿宋" w:cs="仿宋"/>
          <w:sz w:val="24"/>
          <w:highlight w:val="none"/>
        </w:rPr>
      </w:pPr>
      <w:r>
        <w:rPr>
          <w:rFonts w:hint="eastAsia" w:ascii="仿宋" w:hAnsi="仿宋" w:eastAsia="仿宋" w:cs="仿宋"/>
          <w:sz w:val="24"/>
          <w:highlight w:val="none"/>
        </w:rPr>
        <w:t>造成的一切经济损失，由投标方承担。</w:t>
      </w:r>
    </w:p>
    <w:p w14:paraId="2E793E39">
      <w:pPr>
        <w:spacing w:line="360" w:lineRule="auto"/>
        <w:rPr>
          <w:rFonts w:ascii="仿宋" w:hAnsi="仿宋" w:eastAsia="仿宋" w:cs="仿宋"/>
          <w:sz w:val="24"/>
          <w:highlight w:val="none"/>
        </w:rPr>
      </w:pPr>
      <w:r>
        <w:rPr>
          <w:rFonts w:hint="eastAsia" w:ascii="仿宋" w:hAnsi="仿宋" w:eastAsia="仿宋" w:cs="仿宋"/>
          <w:sz w:val="24"/>
          <w:highlight w:val="none"/>
        </w:rPr>
        <w:t>3、环境、职业健康安全对投标方的要求</w:t>
      </w:r>
    </w:p>
    <w:p w14:paraId="06777D05">
      <w:pPr>
        <w:spacing w:line="360" w:lineRule="auto"/>
        <w:rPr>
          <w:rFonts w:ascii="仿宋" w:hAnsi="仿宋" w:eastAsia="仿宋" w:cs="仿宋"/>
          <w:sz w:val="24"/>
          <w:highlight w:val="none"/>
        </w:rPr>
      </w:pPr>
      <w:r>
        <w:rPr>
          <w:rFonts w:hint="eastAsia" w:ascii="仿宋" w:hAnsi="仿宋" w:eastAsia="仿宋" w:cs="仿宋"/>
          <w:sz w:val="24"/>
          <w:highlight w:val="none"/>
        </w:rPr>
        <w:t>(1) 遵守国家标准《民用建筑工程室内环境污染控制规范》（GB50325---2010）；</w:t>
      </w:r>
    </w:p>
    <w:p w14:paraId="6AD2D77A">
      <w:pPr>
        <w:spacing w:line="360" w:lineRule="auto"/>
        <w:rPr>
          <w:rFonts w:ascii="仿宋" w:hAnsi="仿宋" w:eastAsia="仿宋" w:cs="仿宋"/>
          <w:sz w:val="24"/>
          <w:highlight w:val="none"/>
        </w:rPr>
      </w:pPr>
      <w:r>
        <w:rPr>
          <w:rFonts w:hint="eastAsia" w:ascii="仿宋" w:hAnsi="仿宋" w:eastAsia="仿宋" w:cs="仿宋"/>
          <w:sz w:val="24"/>
          <w:highlight w:val="none"/>
        </w:rPr>
        <w:t>(2) 运输车辆尾气排放符合省、直辖市环保部门要求；</w:t>
      </w:r>
    </w:p>
    <w:p w14:paraId="4A3BF9A7">
      <w:pPr>
        <w:spacing w:line="360" w:lineRule="auto"/>
        <w:rPr>
          <w:rFonts w:ascii="仿宋" w:hAnsi="仿宋" w:eastAsia="仿宋" w:cs="仿宋"/>
          <w:sz w:val="24"/>
          <w:highlight w:val="none"/>
        </w:rPr>
      </w:pPr>
      <w:r>
        <w:rPr>
          <w:rFonts w:hint="eastAsia" w:ascii="仿宋" w:hAnsi="仿宋" w:eastAsia="仿宋" w:cs="仿宋"/>
          <w:sz w:val="24"/>
          <w:highlight w:val="none"/>
        </w:rPr>
        <w:t>(3) 出场车辆整洁，车况保持良好；</w:t>
      </w:r>
    </w:p>
    <w:p w14:paraId="7E3E305E">
      <w:pPr>
        <w:spacing w:line="360" w:lineRule="auto"/>
        <w:rPr>
          <w:rFonts w:ascii="仿宋" w:hAnsi="仿宋" w:eastAsia="仿宋" w:cs="仿宋"/>
          <w:sz w:val="24"/>
          <w:highlight w:val="none"/>
        </w:rPr>
      </w:pPr>
      <w:r>
        <w:rPr>
          <w:rFonts w:hint="eastAsia" w:ascii="仿宋" w:hAnsi="仿宋" w:eastAsia="仿宋" w:cs="仿宋"/>
          <w:sz w:val="24"/>
          <w:highlight w:val="none"/>
        </w:rPr>
        <w:t>(4) 投标方应严格遵守招标方施工场区内各项环境、职业健康安全管理规定；</w:t>
      </w:r>
    </w:p>
    <w:p w14:paraId="2AD80855">
      <w:pPr>
        <w:spacing w:line="360" w:lineRule="auto"/>
        <w:rPr>
          <w:rFonts w:ascii="仿宋" w:hAnsi="仿宋" w:eastAsia="仿宋" w:cs="仿宋"/>
          <w:sz w:val="24"/>
          <w:highlight w:val="none"/>
        </w:rPr>
      </w:pPr>
      <w:r>
        <w:rPr>
          <w:rFonts w:hint="eastAsia" w:ascii="仿宋" w:hAnsi="仿宋" w:eastAsia="仿宋" w:cs="仿宋"/>
          <w:sz w:val="24"/>
          <w:highlight w:val="none"/>
        </w:rPr>
        <w:t>(5) 车辆和人员在施工现场内移动，由于车辆和人员原因造成的安全事故，一律由投标方负责；</w:t>
      </w:r>
    </w:p>
    <w:p w14:paraId="1B90B3D9">
      <w:pPr>
        <w:pStyle w:val="15"/>
        <w:numPr>
          <w:ilvl w:val="0"/>
          <w:numId w:val="0"/>
        </w:numPr>
        <w:spacing w:line="360" w:lineRule="auto"/>
        <w:ind w:leftChars="0"/>
        <w:rPr>
          <w:rFonts w:ascii="仿宋" w:hAnsi="仿宋" w:eastAsia="仿宋" w:cs="仿宋"/>
          <w:sz w:val="24"/>
          <w:highlight w:val="none"/>
        </w:rPr>
      </w:pPr>
      <w:r>
        <w:rPr>
          <w:rFonts w:hint="eastAsia" w:ascii="仿宋" w:hAnsi="仿宋" w:eastAsia="仿宋" w:cs="仿宋"/>
          <w:sz w:val="24"/>
          <w:highlight w:val="none"/>
          <w:lang w:val="en-US" w:eastAsia="zh-CN"/>
        </w:rPr>
        <w:t>4、</w:t>
      </w:r>
      <w:r>
        <w:rPr>
          <w:rFonts w:hint="eastAsia" w:ascii="仿宋" w:hAnsi="仿宋" w:eastAsia="仿宋" w:cs="仿宋"/>
          <w:sz w:val="24"/>
          <w:highlight w:val="none"/>
        </w:rPr>
        <w:t>合同争议的解决方式：在合同履行过程中，如出现争议，须由招、投标双方先行协商解决</w:t>
      </w:r>
      <w:r>
        <w:rPr>
          <w:rFonts w:hint="eastAsia" w:ascii="仿宋" w:hAnsi="仿宋" w:eastAsia="仿宋" w:cs="仿宋"/>
          <w:sz w:val="24"/>
          <w:highlight w:val="none"/>
          <w:lang w:eastAsia="zh-CN"/>
        </w:rPr>
        <w:t>，</w:t>
      </w:r>
      <w:r>
        <w:rPr>
          <w:rFonts w:hint="eastAsia" w:ascii="仿宋" w:hAnsi="仿宋" w:eastAsia="仿宋" w:cs="仿宋"/>
          <w:sz w:val="24"/>
          <w:highlight w:val="none"/>
        </w:rPr>
        <w:t>协商不成时，可到招标方人民法院起诉。</w:t>
      </w:r>
    </w:p>
    <w:p w14:paraId="67B51F60">
      <w:pPr>
        <w:pStyle w:val="15"/>
        <w:numPr>
          <w:ilvl w:val="0"/>
          <w:numId w:val="0"/>
        </w:numPr>
        <w:spacing w:line="360" w:lineRule="auto"/>
        <w:ind w:leftChars="0"/>
        <w:rPr>
          <w:rFonts w:ascii="仿宋" w:hAnsi="仿宋" w:eastAsia="仿宋" w:cs="仿宋"/>
          <w:sz w:val="24"/>
          <w:highlight w:val="none"/>
        </w:rPr>
      </w:pPr>
      <w:r>
        <w:rPr>
          <w:rFonts w:hint="eastAsia" w:ascii="仿宋" w:hAnsi="仿宋" w:eastAsia="仿宋" w:cs="仿宋"/>
          <w:sz w:val="24"/>
          <w:highlight w:val="none"/>
          <w:lang w:val="en-US" w:eastAsia="zh-CN"/>
        </w:rPr>
        <w:t>5、</w:t>
      </w:r>
      <w:r>
        <w:rPr>
          <w:rFonts w:hint="eastAsia" w:ascii="仿宋" w:hAnsi="仿宋" w:eastAsia="仿宋" w:cs="仿宋"/>
          <w:sz w:val="24"/>
          <w:highlight w:val="none"/>
        </w:rPr>
        <w:t>招标如遇到并列合理低价可同为中标，供应计划由招标方合理分配</w:t>
      </w:r>
    </w:p>
    <w:p w14:paraId="2F36ECCA">
      <w:pPr>
        <w:pStyle w:val="15"/>
        <w:numPr>
          <w:ilvl w:val="0"/>
          <w:numId w:val="0"/>
        </w:numPr>
        <w:spacing w:line="360" w:lineRule="auto"/>
        <w:ind w:leftChars="0"/>
        <w:rPr>
          <w:rFonts w:ascii="仿宋" w:hAnsi="仿宋" w:eastAsia="仿宋" w:cs="仿宋"/>
          <w:sz w:val="24"/>
          <w:highlight w:val="none"/>
        </w:rPr>
      </w:pPr>
      <w:r>
        <w:rPr>
          <w:rFonts w:hint="eastAsia" w:ascii="仿宋" w:hAnsi="仿宋" w:eastAsia="仿宋" w:cs="仿宋"/>
          <w:sz w:val="24"/>
          <w:highlight w:val="none"/>
          <w:lang w:val="en-US" w:eastAsia="zh-CN"/>
        </w:rPr>
        <w:t>6、</w:t>
      </w:r>
      <w:r>
        <w:rPr>
          <w:rFonts w:hint="eastAsia" w:ascii="仿宋" w:hAnsi="仿宋" w:eastAsia="仿宋" w:cs="仿宋"/>
          <w:sz w:val="24"/>
          <w:highlight w:val="none"/>
        </w:rPr>
        <w:t>为保证安全生产供应，招采方备用第二合理低价方，如遇第一中标方在执行合同过程中未及时履行合同规定，招标方有权终止第一中标方，由第二名履行执行相关合同。</w:t>
      </w:r>
    </w:p>
    <w:p w14:paraId="02016DBA">
      <w:pPr>
        <w:pStyle w:val="15"/>
        <w:widowControl/>
        <w:spacing w:after="50" w:line="210" w:lineRule="atLeast"/>
        <w:ind w:left="720" w:firstLine="0" w:firstLineChars="0"/>
        <w:jc w:val="left"/>
        <w:rPr>
          <w:rFonts w:ascii="仿宋" w:hAnsi="仿宋" w:eastAsia="仿宋" w:cs="仿宋"/>
          <w:sz w:val="24"/>
          <w:highlight w:val="none"/>
        </w:rPr>
      </w:pPr>
    </w:p>
    <w:p w14:paraId="2CB4C65D">
      <w:pPr>
        <w:rPr>
          <w:rFonts w:hint="eastAsia" w:ascii="仿宋" w:hAnsi="仿宋" w:eastAsia="仿宋"/>
          <w:b/>
          <w:bCs/>
          <w:color w:val="000000"/>
          <w:sz w:val="28"/>
          <w:szCs w:val="28"/>
          <w:highlight w:val="none"/>
        </w:rPr>
      </w:pPr>
      <w:r>
        <w:rPr>
          <w:rFonts w:hint="eastAsia" w:ascii="仿宋" w:hAnsi="仿宋" w:eastAsia="仿宋"/>
          <w:b/>
          <w:bCs/>
          <w:color w:val="000000"/>
          <w:sz w:val="28"/>
          <w:szCs w:val="28"/>
          <w:highlight w:val="none"/>
        </w:rPr>
        <w:br w:type="page"/>
      </w:r>
    </w:p>
    <w:p w14:paraId="52416F80">
      <w:pPr>
        <w:spacing w:before="156" w:beforeLines="50" w:after="156" w:afterLines="50" w:line="360" w:lineRule="auto"/>
        <w:jc w:val="center"/>
        <w:rPr>
          <w:rFonts w:ascii="仿宋" w:hAnsi="仿宋" w:eastAsia="仿宋"/>
          <w:b/>
          <w:bCs/>
          <w:color w:val="000000"/>
          <w:sz w:val="28"/>
          <w:szCs w:val="28"/>
          <w:highlight w:val="none"/>
        </w:rPr>
      </w:pPr>
      <w:r>
        <w:rPr>
          <w:rFonts w:hint="eastAsia" w:ascii="仿宋" w:hAnsi="仿宋" w:eastAsia="仿宋"/>
          <w:b/>
          <w:bCs/>
          <w:color w:val="000000"/>
          <w:sz w:val="28"/>
          <w:szCs w:val="28"/>
          <w:highlight w:val="none"/>
        </w:rPr>
        <w:t>材料明细表</w:t>
      </w:r>
    </w:p>
    <w:tbl>
      <w:tblPr>
        <w:tblStyle w:val="9"/>
        <w:tblW w:w="9519" w:type="dxa"/>
        <w:tblInd w:w="93" w:type="dxa"/>
        <w:tblLayout w:type="fixed"/>
        <w:tblCellMar>
          <w:top w:w="0" w:type="dxa"/>
          <w:left w:w="108" w:type="dxa"/>
          <w:bottom w:w="0" w:type="dxa"/>
          <w:right w:w="108" w:type="dxa"/>
        </w:tblCellMar>
      </w:tblPr>
      <w:tblGrid>
        <w:gridCol w:w="644"/>
        <w:gridCol w:w="1556"/>
        <w:gridCol w:w="2440"/>
        <w:gridCol w:w="667"/>
        <w:gridCol w:w="1004"/>
        <w:gridCol w:w="940"/>
        <w:gridCol w:w="993"/>
        <w:gridCol w:w="1275"/>
      </w:tblGrid>
      <w:tr w14:paraId="2CED5BDF">
        <w:tblPrEx>
          <w:tblCellMar>
            <w:top w:w="0" w:type="dxa"/>
            <w:left w:w="108" w:type="dxa"/>
            <w:bottom w:w="0" w:type="dxa"/>
            <w:right w:w="108" w:type="dxa"/>
          </w:tblCellMar>
        </w:tblPrEx>
        <w:trPr>
          <w:trHeight w:val="402" w:hRule="atLeast"/>
        </w:trPr>
        <w:tc>
          <w:tcPr>
            <w:tcW w:w="644" w:type="dxa"/>
            <w:tcBorders>
              <w:top w:val="single" w:color="auto" w:sz="4" w:space="0"/>
              <w:left w:val="single" w:color="auto" w:sz="4" w:space="0"/>
              <w:bottom w:val="single" w:color="auto" w:sz="4" w:space="0"/>
              <w:right w:val="single" w:color="auto" w:sz="4" w:space="0"/>
            </w:tcBorders>
            <w:shd w:val="clear" w:color="auto" w:fill="auto"/>
            <w:vAlign w:val="center"/>
          </w:tcPr>
          <w:p w14:paraId="541E3D68">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序号</w:t>
            </w:r>
          </w:p>
        </w:tc>
        <w:tc>
          <w:tcPr>
            <w:tcW w:w="1556" w:type="dxa"/>
            <w:tcBorders>
              <w:top w:val="single" w:color="auto" w:sz="4" w:space="0"/>
              <w:left w:val="nil"/>
              <w:bottom w:val="single" w:color="auto" w:sz="4" w:space="0"/>
              <w:right w:val="single" w:color="auto" w:sz="4" w:space="0"/>
            </w:tcBorders>
            <w:shd w:val="clear" w:color="auto" w:fill="auto"/>
            <w:vAlign w:val="center"/>
          </w:tcPr>
          <w:p w14:paraId="6CF256AB">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材料名称</w:t>
            </w:r>
          </w:p>
        </w:tc>
        <w:tc>
          <w:tcPr>
            <w:tcW w:w="2440" w:type="dxa"/>
            <w:tcBorders>
              <w:top w:val="single" w:color="auto" w:sz="4" w:space="0"/>
              <w:left w:val="nil"/>
              <w:bottom w:val="single" w:color="auto" w:sz="4" w:space="0"/>
              <w:right w:val="single" w:color="auto" w:sz="4" w:space="0"/>
            </w:tcBorders>
            <w:shd w:val="clear" w:color="auto" w:fill="auto"/>
            <w:vAlign w:val="center"/>
          </w:tcPr>
          <w:p w14:paraId="24D6129D">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规格型号</w:t>
            </w:r>
          </w:p>
        </w:tc>
        <w:tc>
          <w:tcPr>
            <w:tcW w:w="667" w:type="dxa"/>
            <w:tcBorders>
              <w:top w:val="single" w:color="auto" w:sz="4" w:space="0"/>
              <w:left w:val="nil"/>
              <w:bottom w:val="single" w:color="auto" w:sz="4" w:space="0"/>
              <w:right w:val="single" w:color="auto" w:sz="4" w:space="0"/>
            </w:tcBorders>
            <w:shd w:val="clear" w:color="auto" w:fill="auto"/>
            <w:vAlign w:val="center"/>
          </w:tcPr>
          <w:p w14:paraId="5314DBF6">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单位</w:t>
            </w:r>
          </w:p>
        </w:tc>
        <w:tc>
          <w:tcPr>
            <w:tcW w:w="1004" w:type="dxa"/>
            <w:tcBorders>
              <w:top w:val="single" w:color="auto" w:sz="4" w:space="0"/>
              <w:left w:val="nil"/>
              <w:bottom w:val="single" w:color="auto" w:sz="4" w:space="0"/>
              <w:right w:val="single" w:color="auto" w:sz="4" w:space="0"/>
            </w:tcBorders>
            <w:shd w:val="clear" w:color="auto" w:fill="auto"/>
            <w:vAlign w:val="center"/>
          </w:tcPr>
          <w:p w14:paraId="63B35F3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数量</w:t>
            </w:r>
          </w:p>
        </w:tc>
        <w:tc>
          <w:tcPr>
            <w:tcW w:w="940" w:type="dxa"/>
            <w:tcBorders>
              <w:top w:val="single" w:color="auto" w:sz="4" w:space="0"/>
              <w:left w:val="nil"/>
              <w:bottom w:val="single" w:color="auto" w:sz="4" w:space="0"/>
              <w:right w:val="single" w:color="auto" w:sz="4" w:space="0"/>
            </w:tcBorders>
            <w:shd w:val="clear" w:color="auto" w:fill="auto"/>
            <w:vAlign w:val="center"/>
          </w:tcPr>
          <w:p w14:paraId="28ECBB5C">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含税单价（元）</w:t>
            </w:r>
          </w:p>
        </w:tc>
        <w:tc>
          <w:tcPr>
            <w:tcW w:w="993" w:type="dxa"/>
            <w:tcBorders>
              <w:top w:val="single" w:color="auto" w:sz="4" w:space="0"/>
              <w:left w:val="nil"/>
              <w:bottom w:val="single" w:color="auto" w:sz="4" w:space="0"/>
              <w:right w:val="single" w:color="auto" w:sz="4" w:space="0"/>
            </w:tcBorders>
            <w:shd w:val="clear" w:color="auto" w:fill="auto"/>
            <w:vAlign w:val="center"/>
          </w:tcPr>
          <w:p w14:paraId="2FE54DC6">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含税合计（元）</w:t>
            </w:r>
          </w:p>
        </w:tc>
        <w:tc>
          <w:tcPr>
            <w:tcW w:w="1275" w:type="dxa"/>
            <w:tcBorders>
              <w:top w:val="single" w:color="auto" w:sz="4" w:space="0"/>
              <w:left w:val="nil"/>
              <w:bottom w:val="single" w:color="auto" w:sz="4" w:space="0"/>
              <w:right w:val="single" w:color="auto" w:sz="4" w:space="0"/>
            </w:tcBorders>
            <w:shd w:val="clear" w:color="auto" w:fill="auto"/>
            <w:vAlign w:val="center"/>
          </w:tcPr>
          <w:p w14:paraId="4DE69F4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厂家要求</w:t>
            </w:r>
          </w:p>
        </w:tc>
      </w:tr>
      <w:tr w14:paraId="47BAF043">
        <w:tblPrEx>
          <w:tblCellMar>
            <w:top w:w="0" w:type="dxa"/>
            <w:left w:w="108" w:type="dxa"/>
            <w:bottom w:w="0" w:type="dxa"/>
            <w:right w:w="108" w:type="dxa"/>
          </w:tblCellMar>
        </w:tblPrEx>
        <w:trPr>
          <w:trHeight w:val="402" w:hRule="atLeast"/>
        </w:trPr>
        <w:tc>
          <w:tcPr>
            <w:tcW w:w="644" w:type="dxa"/>
            <w:tcBorders>
              <w:top w:val="nil"/>
              <w:left w:val="single" w:color="auto" w:sz="4" w:space="0"/>
              <w:bottom w:val="single" w:color="auto" w:sz="4" w:space="0"/>
              <w:right w:val="single" w:color="auto" w:sz="4" w:space="0"/>
            </w:tcBorders>
            <w:shd w:val="clear" w:color="auto" w:fill="auto"/>
            <w:noWrap/>
            <w:vAlign w:val="center"/>
          </w:tcPr>
          <w:p w14:paraId="48051DDA">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556" w:type="dxa"/>
            <w:tcBorders>
              <w:top w:val="nil"/>
              <w:left w:val="nil"/>
              <w:bottom w:val="single" w:color="auto" w:sz="4" w:space="0"/>
              <w:right w:val="single" w:color="auto" w:sz="4" w:space="0"/>
            </w:tcBorders>
            <w:shd w:val="clear" w:color="auto" w:fill="auto"/>
            <w:noWrap/>
            <w:vAlign w:val="center"/>
          </w:tcPr>
          <w:p w14:paraId="74F5EB69">
            <w:pPr>
              <w:keepNext w:val="0"/>
              <w:keepLines w:val="0"/>
              <w:widowControl/>
              <w:suppressLineNumbers w:val="0"/>
              <w:jc w:val="center"/>
              <w:textAlignment w:val="center"/>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u w:val="none"/>
                <w:lang w:val="en-US" w:eastAsia="zh-CN" w:bidi="ar"/>
              </w:rPr>
              <w:t>三级螺纹钢</w:t>
            </w:r>
          </w:p>
        </w:tc>
        <w:tc>
          <w:tcPr>
            <w:tcW w:w="2440" w:type="dxa"/>
            <w:tcBorders>
              <w:top w:val="nil"/>
              <w:left w:val="nil"/>
              <w:bottom w:val="single" w:color="auto" w:sz="4" w:space="0"/>
              <w:right w:val="single" w:color="auto" w:sz="4" w:space="0"/>
            </w:tcBorders>
            <w:shd w:val="clear" w:color="auto" w:fill="auto"/>
            <w:vAlign w:val="center"/>
          </w:tcPr>
          <w:p w14:paraId="57C83EA3">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HRB400E 12</w:t>
            </w:r>
          </w:p>
        </w:tc>
        <w:tc>
          <w:tcPr>
            <w:tcW w:w="667" w:type="dxa"/>
            <w:tcBorders>
              <w:top w:val="nil"/>
              <w:left w:val="nil"/>
              <w:bottom w:val="single" w:color="auto" w:sz="4" w:space="0"/>
              <w:right w:val="single" w:color="auto" w:sz="4" w:space="0"/>
            </w:tcBorders>
            <w:shd w:val="clear" w:color="auto" w:fill="auto"/>
            <w:noWrap/>
            <w:vAlign w:val="center"/>
          </w:tcPr>
          <w:p w14:paraId="7D3E113F">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t</w:t>
            </w:r>
          </w:p>
        </w:tc>
        <w:tc>
          <w:tcPr>
            <w:tcW w:w="1004" w:type="dxa"/>
            <w:tcBorders>
              <w:top w:val="nil"/>
              <w:left w:val="nil"/>
              <w:bottom w:val="single" w:color="auto" w:sz="4" w:space="0"/>
              <w:right w:val="single" w:color="auto" w:sz="4" w:space="0"/>
            </w:tcBorders>
            <w:shd w:val="clear" w:color="auto" w:fill="auto"/>
            <w:noWrap/>
            <w:vAlign w:val="center"/>
          </w:tcPr>
          <w:p w14:paraId="78323E39">
            <w:pPr>
              <w:keepNext w:val="0"/>
              <w:keepLines w:val="0"/>
              <w:widowControl/>
              <w:suppressLineNumbers w:val="0"/>
              <w:jc w:val="right"/>
              <w:textAlignment w:val="center"/>
              <w:rPr>
                <w:rFonts w:hint="default" w:ascii="宋体" w:hAnsi="宋体" w:eastAsia="宋体" w:cs="宋体"/>
                <w:color w:val="000000"/>
                <w:kern w:val="0"/>
                <w:sz w:val="18"/>
                <w:szCs w:val="18"/>
                <w:highlight w:val="none"/>
                <w:lang w:val="en-US" w:eastAsia="zh-CN"/>
              </w:rPr>
            </w:pPr>
            <w:r>
              <w:rPr>
                <w:rFonts w:hint="eastAsia" w:ascii="宋体" w:hAnsi="宋体" w:cs="宋体"/>
                <w:i w:val="0"/>
                <w:iCs w:val="0"/>
                <w:color w:val="000000"/>
                <w:kern w:val="0"/>
                <w:sz w:val="18"/>
                <w:szCs w:val="18"/>
                <w:u w:val="none"/>
                <w:lang w:val="en-US" w:eastAsia="zh-CN" w:bidi="ar"/>
              </w:rPr>
              <w:t>24</w:t>
            </w:r>
          </w:p>
        </w:tc>
        <w:tc>
          <w:tcPr>
            <w:tcW w:w="940" w:type="dxa"/>
            <w:tcBorders>
              <w:top w:val="nil"/>
              <w:left w:val="nil"/>
              <w:bottom w:val="single" w:color="auto" w:sz="4" w:space="0"/>
              <w:right w:val="single" w:color="auto" w:sz="4" w:space="0"/>
            </w:tcBorders>
            <w:shd w:val="clear" w:color="auto" w:fill="auto"/>
          </w:tcPr>
          <w:p w14:paraId="7CE1F9E5">
            <w:pPr>
              <w:widowControl/>
              <w:jc w:val="center"/>
              <w:rPr>
                <w:rFonts w:hint="eastAsia" w:ascii="宋体" w:hAnsi="宋体" w:eastAsia="宋体" w:cs="宋体"/>
                <w:color w:val="000000"/>
                <w:kern w:val="0"/>
                <w:sz w:val="18"/>
                <w:szCs w:val="18"/>
                <w:highlight w:val="none"/>
              </w:rPr>
            </w:pPr>
          </w:p>
        </w:tc>
        <w:tc>
          <w:tcPr>
            <w:tcW w:w="993" w:type="dxa"/>
            <w:tcBorders>
              <w:top w:val="nil"/>
              <w:left w:val="nil"/>
              <w:bottom w:val="single" w:color="auto" w:sz="4" w:space="0"/>
              <w:right w:val="single" w:color="auto" w:sz="4" w:space="0"/>
            </w:tcBorders>
            <w:shd w:val="clear" w:color="auto" w:fill="auto"/>
            <w:vAlign w:val="bottom"/>
          </w:tcPr>
          <w:p w14:paraId="28719EE0">
            <w:pPr>
              <w:widowControl/>
              <w:jc w:val="center"/>
              <w:rPr>
                <w:rFonts w:hint="eastAsia" w:ascii="宋体" w:hAnsi="宋体" w:eastAsia="宋体" w:cs="宋体"/>
                <w:color w:val="000000"/>
                <w:kern w:val="0"/>
                <w:sz w:val="18"/>
                <w:szCs w:val="18"/>
                <w:highlight w:val="none"/>
              </w:rPr>
            </w:pPr>
          </w:p>
        </w:tc>
        <w:tc>
          <w:tcPr>
            <w:tcW w:w="1275" w:type="dxa"/>
            <w:tcBorders>
              <w:top w:val="nil"/>
              <w:left w:val="nil"/>
              <w:bottom w:val="single" w:color="auto" w:sz="4" w:space="0"/>
              <w:right w:val="single" w:color="auto" w:sz="4" w:space="0"/>
            </w:tcBorders>
            <w:shd w:val="clear" w:color="auto" w:fill="auto"/>
            <w:vAlign w:val="center"/>
          </w:tcPr>
          <w:p w14:paraId="0E7F7088">
            <w:pPr>
              <w:widowControl/>
              <w:jc w:val="center"/>
              <w:rPr>
                <w:rFonts w:hint="eastAsia" w:ascii="宋体" w:hAnsi="宋体" w:eastAsia="宋体" w:cs="宋体"/>
                <w:color w:val="000000"/>
                <w:kern w:val="0"/>
                <w:sz w:val="18"/>
                <w:szCs w:val="18"/>
                <w:highlight w:val="none"/>
                <w:lang w:val="en-US" w:eastAsia="zh-CN"/>
              </w:rPr>
            </w:pPr>
          </w:p>
        </w:tc>
      </w:tr>
      <w:tr w14:paraId="4D430A46">
        <w:tblPrEx>
          <w:tblCellMar>
            <w:top w:w="0" w:type="dxa"/>
            <w:left w:w="108" w:type="dxa"/>
            <w:bottom w:w="0" w:type="dxa"/>
            <w:right w:w="108" w:type="dxa"/>
          </w:tblCellMar>
        </w:tblPrEx>
        <w:trPr>
          <w:trHeight w:val="402" w:hRule="atLeast"/>
        </w:trPr>
        <w:tc>
          <w:tcPr>
            <w:tcW w:w="644" w:type="dxa"/>
            <w:tcBorders>
              <w:top w:val="nil"/>
              <w:left w:val="single" w:color="auto" w:sz="4" w:space="0"/>
              <w:bottom w:val="single" w:color="auto" w:sz="4" w:space="0"/>
              <w:right w:val="single" w:color="auto" w:sz="4" w:space="0"/>
            </w:tcBorders>
            <w:shd w:val="clear" w:color="auto" w:fill="auto"/>
            <w:noWrap/>
            <w:vAlign w:val="center"/>
          </w:tcPr>
          <w:p w14:paraId="14C223B9">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556" w:type="dxa"/>
            <w:tcBorders>
              <w:top w:val="nil"/>
              <w:left w:val="nil"/>
              <w:bottom w:val="single" w:color="auto" w:sz="4" w:space="0"/>
              <w:right w:val="single" w:color="auto" w:sz="4" w:space="0"/>
            </w:tcBorders>
            <w:shd w:val="clear" w:color="auto" w:fill="auto"/>
            <w:noWrap/>
            <w:vAlign w:val="center"/>
          </w:tcPr>
          <w:p w14:paraId="2354187C">
            <w:pPr>
              <w:keepNext w:val="0"/>
              <w:keepLines w:val="0"/>
              <w:widowControl/>
              <w:suppressLineNumbers w:val="0"/>
              <w:jc w:val="center"/>
              <w:textAlignment w:val="center"/>
              <w:rPr>
                <w:rFonts w:hint="eastAsia" w:ascii="宋体" w:hAnsi="宋体" w:eastAsia="宋体" w:cs="宋体"/>
                <w:color w:val="000000"/>
                <w:kern w:val="0"/>
                <w:sz w:val="18"/>
                <w:szCs w:val="18"/>
                <w:highlight w:val="none"/>
              </w:rPr>
            </w:pPr>
            <w:r>
              <w:rPr>
                <w:rFonts w:hint="eastAsia" w:ascii="宋体" w:hAnsi="宋体" w:eastAsia="宋体" w:cs="宋体"/>
                <w:i w:val="0"/>
                <w:iCs w:val="0"/>
                <w:color w:val="000000"/>
                <w:kern w:val="0"/>
                <w:sz w:val="18"/>
                <w:szCs w:val="18"/>
                <w:u w:val="none"/>
                <w:lang w:val="en-US" w:eastAsia="zh-CN" w:bidi="ar"/>
              </w:rPr>
              <w:t>三级螺纹钢</w:t>
            </w:r>
          </w:p>
        </w:tc>
        <w:tc>
          <w:tcPr>
            <w:tcW w:w="2440" w:type="dxa"/>
            <w:tcBorders>
              <w:top w:val="nil"/>
              <w:left w:val="nil"/>
              <w:bottom w:val="single" w:color="auto" w:sz="4" w:space="0"/>
              <w:right w:val="single" w:color="auto" w:sz="4" w:space="0"/>
            </w:tcBorders>
            <w:shd w:val="clear" w:color="auto" w:fill="auto"/>
            <w:vAlign w:val="center"/>
          </w:tcPr>
          <w:p w14:paraId="34C878D6">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HRB400E 14</w:t>
            </w:r>
          </w:p>
        </w:tc>
        <w:tc>
          <w:tcPr>
            <w:tcW w:w="667" w:type="dxa"/>
            <w:tcBorders>
              <w:top w:val="nil"/>
              <w:left w:val="nil"/>
              <w:bottom w:val="single" w:color="auto" w:sz="4" w:space="0"/>
              <w:right w:val="single" w:color="auto" w:sz="4" w:space="0"/>
            </w:tcBorders>
            <w:shd w:val="clear" w:color="auto" w:fill="auto"/>
            <w:noWrap/>
            <w:vAlign w:val="center"/>
          </w:tcPr>
          <w:p w14:paraId="066891F2">
            <w:pPr>
              <w:keepNext w:val="0"/>
              <w:keepLines w:val="0"/>
              <w:widowControl/>
              <w:suppressLineNumbers w:val="0"/>
              <w:jc w:val="center"/>
              <w:textAlignment w:val="center"/>
              <w:rPr>
                <w:rFonts w:hint="eastAsia" w:ascii="宋体" w:hAnsi="宋体" w:eastAsia="宋体" w:cs="宋体"/>
                <w:color w:val="000000"/>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t</w:t>
            </w:r>
          </w:p>
        </w:tc>
        <w:tc>
          <w:tcPr>
            <w:tcW w:w="1004" w:type="dxa"/>
            <w:tcBorders>
              <w:top w:val="nil"/>
              <w:left w:val="nil"/>
              <w:bottom w:val="single" w:color="auto" w:sz="4" w:space="0"/>
              <w:right w:val="single" w:color="auto" w:sz="4" w:space="0"/>
            </w:tcBorders>
            <w:shd w:val="clear" w:color="auto" w:fill="auto"/>
            <w:noWrap/>
            <w:vAlign w:val="center"/>
          </w:tcPr>
          <w:p w14:paraId="4050A6E5">
            <w:pPr>
              <w:keepNext w:val="0"/>
              <w:keepLines w:val="0"/>
              <w:widowControl/>
              <w:suppressLineNumbers w:val="0"/>
              <w:jc w:val="right"/>
              <w:textAlignment w:val="center"/>
              <w:rPr>
                <w:rFonts w:hint="eastAsia" w:ascii="宋体" w:hAnsi="宋体" w:eastAsia="宋体" w:cs="宋体"/>
                <w:color w:val="000000"/>
                <w:kern w:val="0"/>
                <w:sz w:val="18"/>
                <w:szCs w:val="18"/>
                <w:highlight w:val="none"/>
                <w:lang w:val="en-US" w:eastAsia="zh-CN"/>
              </w:rPr>
            </w:pPr>
            <w:r>
              <w:rPr>
                <w:rFonts w:hint="eastAsia" w:ascii="宋体" w:hAnsi="宋体" w:cs="宋体"/>
                <w:i w:val="0"/>
                <w:iCs w:val="0"/>
                <w:color w:val="000000"/>
                <w:kern w:val="0"/>
                <w:sz w:val="18"/>
                <w:szCs w:val="18"/>
                <w:u w:val="none"/>
                <w:lang w:val="en-US" w:eastAsia="zh-CN" w:bidi="ar"/>
              </w:rPr>
              <w:t>6</w:t>
            </w:r>
          </w:p>
        </w:tc>
        <w:tc>
          <w:tcPr>
            <w:tcW w:w="940" w:type="dxa"/>
            <w:tcBorders>
              <w:top w:val="nil"/>
              <w:left w:val="nil"/>
              <w:bottom w:val="single" w:color="auto" w:sz="4" w:space="0"/>
              <w:right w:val="single" w:color="auto" w:sz="4" w:space="0"/>
            </w:tcBorders>
            <w:shd w:val="clear" w:color="auto" w:fill="auto"/>
          </w:tcPr>
          <w:p w14:paraId="71A52A54">
            <w:pPr>
              <w:widowControl/>
              <w:jc w:val="center"/>
              <w:rPr>
                <w:rFonts w:hint="eastAsia" w:ascii="宋体" w:hAnsi="宋体" w:eastAsia="宋体" w:cs="宋体"/>
                <w:color w:val="000000"/>
                <w:kern w:val="0"/>
                <w:sz w:val="18"/>
                <w:szCs w:val="18"/>
                <w:highlight w:val="none"/>
              </w:rPr>
            </w:pPr>
          </w:p>
        </w:tc>
        <w:tc>
          <w:tcPr>
            <w:tcW w:w="993" w:type="dxa"/>
            <w:tcBorders>
              <w:top w:val="nil"/>
              <w:left w:val="nil"/>
              <w:bottom w:val="single" w:color="auto" w:sz="4" w:space="0"/>
              <w:right w:val="single" w:color="auto" w:sz="4" w:space="0"/>
            </w:tcBorders>
            <w:shd w:val="clear" w:color="auto" w:fill="auto"/>
            <w:vAlign w:val="bottom"/>
          </w:tcPr>
          <w:p w14:paraId="5A7A214E">
            <w:pPr>
              <w:widowControl/>
              <w:jc w:val="center"/>
              <w:rPr>
                <w:rFonts w:hint="eastAsia" w:ascii="宋体" w:hAnsi="宋体" w:eastAsia="宋体" w:cs="宋体"/>
                <w:color w:val="000000"/>
                <w:kern w:val="0"/>
                <w:sz w:val="18"/>
                <w:szCs w:val="18"/>
                <w:highlight w:val="none"/>
              </w:rPr>
            </w:pPr>
          </w:p>
        </w:tc>
        <w:tc>
          <w:tcPr>
            <w:tcW w:w="1275" w:type="dxa"/>
            <w:tcBorders>
              <w:top w:val="nil"/>
              <w:left w:val="nil"/>
              <w:bottom w:val="single" w:color="auto" w:sz="4" w:space="0"/>
              <w:right w:val="single" w:color="auto" w:sz="4" w:space="0"/>
            </w:tcBorders>
            <w:shd w:val="clear" w:color="auto" w:fill="auto"/>
            <w:vAlign w:val="center"/>
          </w:tcPr>
          <w:p w14:paraId="27DB0E16">
            <w:pPr>
              <w:widowControl/>
              <w:jc w:val="center"/>
              <w:rPr>
                <w:rFonts w:hint="eastAsia" w:ascii="宋体" w:hAnsi="宋体" w:eastAsia="宋体" w:cs="宋体"/>
                <w:color w:val="000000"/>
                <w:kern w:val="0"/>
                <w:sz w:val="18"/>
                <w:szCs w:val="18"/>
                <w:highlight w:val="none"/>
                <w:lang w:val="en-US" w:eastAsia="zh-CN"/>
              </w:rPr>
            </w:pPr>
          </w:p>
        </w:tc>
      </w:tr>
      <w:tr w14:paraId="2B46DAC7">
        <w:tblPrEx>
          <w:tblCellMar>
            <w:top w:w="0" w:type="dxa"/>
            <w:left w:w="108" w:type="dxa"/>
            <w:bottom w:w="0" w:type="dxa"/>
            <w:right w:w="108" w:type="dxa"/>
          </w:tblCellMar>
        </w:tblPrEx>
        <w:trPr>
          <w:trHeight w:val="285" w:hRule="atLeast"/>
        </w:trPr>
        <w:tc>
          <w:tcPr>
            <w:tcW w:w="5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A2F5B49">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合       计</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14:paraId="2047A5DA">
            <w:pPr>
              <w:widowControl/>
              <w:jc w:val="center"/>
              <w:rPr>
                <w:rFonts w:hint="default" w:ascii="宋体" w:hAnsi="宋体" w:eastAsia="宋体" w:cs="宋体"/>
                <w:b/>
                <w:bCs/>
                <w:color w:val="000000"/>
                <w:kern w:val="0"/>
                <w:sz w:val="18"/>
                <w:szCs w:val="18"/>
                <w:highlight w:val="none"/>
                <w:lang w:val="en-US" w:eastAsia="zh-CN"/>
              </w:rPr>
            </w:pPr>
            <w:r>
              <w:rPr>
                <w:rFonts w:hint="eastAsia" w:ascii="宋体" w:hAnsi="宋体" w:cs="宋体"/>
                <w:b/>
                <w:bCs/>
                <w:color w:val="000000"/>
                <w:kern w:val="0"/>
                <w:sz w:val="18"/>
                <w:szCs w:val="18"/>
                <w:highlight w:val="none"/>
                <w:lang w:val="en-US" w:eastAsia="zh-CN"/>
              </w:rPr>
              <w:t>30</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67780917">
            <w:pPr>
              <w:widowControl/>
              <w:jc w:val="center"/>
              <w:rPr>
                <w:rFonts w:hint="eastAsia" w:ascii="宋体" w:hAnsi="宋体" w:eastAsia="宋体" w:cs="宋体"/>
                <w:b/>
                <w:bCs/>
                <w:color w:val="000000"/>
                <w:kern w:val="0"/>
                <w:sz w:val="18"/>
                <w:szCs w:val="18"/>
                <w:highlight w:val="none"/>
              </w:rPr>
            </w:pPr>
          </w:p>
        </w:tc>
        <w:tc>
          <w:tcPr>
            <w:tcW w:w="993" w:type="dxa"/>
            <w:tcBorders>
              <w:top w:val="nil"/>
              <w:left w:val="nil"/>
              <w:bottom w:val="single" w:color="auto" w:sz="4" w:space="0"/>
              <w:right w:val="single" w:color="auto" w:sz="4" w:space="0"/>
            </w:tcBorders>
            <w:shd w:val="clear" w:color="auto" w:fill="auto"/>
            <w:vAlign w:val="bottom"/>
          </w:tcPr>
          <w:p w14:paraId="2C043177">
            <w:pPr>
              <w:widowControl/>
              <w:jc w:val="center"/>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　</w:t>
            </w:r>
          </w:p>
        </w:tc>
        <w:tc>
          <w:tcPr>
            <w:tcW w:w="1275" w:type="dxa"/>
            <w:tcBorders>
              <w:top w:val="nil"/>
              <w:left w:val="nil"/>
              <w:bottom w:val="single" w:color="auto" w:sz="4" w:space="0"/>
              <w:right w:val="single" w:color="auto" w:sz="4" w:space="0"/>
            </w:tcBorders>
            <w:shd w:val="clear" w:color="auto" w:fill="auto"/>
            <w:noWrap/>
          </w:tcPr>
          <w:p w14:paraId="65D1A73B">
            <w:pPr>
              <w:widowControl/>
              <w:jc w:val="center"/>
              <w:rPr>
                <w:rFonts w:hint="eastAsia" w:ascii="宋体" w:hAnsi="宋体" w:eastAsia="宋体" w:cs="宋体"/>
                <w:color w:val="000000"/>
                <w:kern w:val="0"/>
                <w:sz w:val="18"/>
                <w:szCs w:val="18"/>
                <w:highlight w:val="none"/>
              </w:rPr>
            </w:pPr>
          </w:p>
        </w:tc>
      </w:tr>
      <w:tr w14:paraId="6023206F">
        <w:tblPrEx>
          <w:tblCellMar>
            <w:top w:w="0" w:type="dxa"/>
            <w:left w:w="108" w:type="dxa"/>
            <w:bottom w:w="0" w:type="dxa"/>
            <w:right w:w="108" w:type="dxa"/>
          </w:tblCellMar>
        </w:tblPrEx>
        <w:trPr>
          <w:trHeight w:val="1211" w:hRule="atLeast"/>
        </w:trPr>
        <w:tc>
          <w:tcPr>
            <w:tcW w:w="9519" w:type="dxa"/>
            <w:gridSpan w:val="8"/>
            <w:tcBorders>
              <w:top w:val="single" w:color="auto" w:sz="4" w:space="0"/>
              <w:left w:val="single" w:color="auto" w:sz="4" w:space="0"/>
              <w:bottom w:val="single" w:color="auto" w:sz="4" w:space="0"/>
              <w:right w:val="single" w:color="000000" w:sz="4" w:space="0"/>
            </w:tcBorders>
            <w:shd w:val="clear" w:color="auto" w:fill="auto"/>
            <w:noWrap/>
            <w:vAlign w:val="bottom"/>
          </w:tcPr>
          <w:p w14:paraId="73067BD5">
            <w:pPr>
              <w:adjustRightInd w:val="0"/>
              <w:snapToGrid w:val="0"/>
              <w:spacing w:line="360" w:lineRule="auto"/>
              <w:jc w:val="left"/>
              <w:rPr>
                <w:rFonts w:ascii="仿宋" w:hAnsi="仿宋" w:eastAsia="仿宋" w:cs="仿宋"/>
                <w:sz w:val="24"/>
                <w:highlight w:val="none"/>
              </w:rPr>
            </w:pPr>
            <w:r>
              <w:rPr>
                <w:rFonts w:hint="eastAsia" w:ascii="仿宋" w:hAnsi="仿宋" w:eastAsia="仿宋" w:cs="仿宋"/>
                <w:sz w:val="24"/>
                <w:highlight w:val="none"/>
              </w:rPr>
              <w:t>注：</w:t>
            </w:r>
          </w:p>
          <w:p w14:paraId="5EB793CB">
            <w:pPr>
              <w:pStyle w:val="15"/>
              <w:numPr>
                <w:ilvl w:val="0"/>
                <w:numId w:val="2"/>
              </w:numPr>
              <w:adjustRightInd w:val="0"/>
              <w:snapToGrid w:val="0"/>
              <w:spacing w:line="360" w:lineRule="auto"/>
              <w:ind w:firstLineChars="0"/>
              <w:jc w:val="left"/>
              <w:rPr>
                <w:rFonts w:ascii="仿宋" w:hAnsi="仿宋" w:eastAsia="仿宋" w:cs="仿宋"/>
                <w:sz w:val="24"/>
                <w:highlight w:val="none"/>
              </w:rPr>
            </w:pPr>
            <w:r>
              <w:rPr>
                <w:rFonts w:hint="eastAsia" w:ascii="仿宋" w:hAnsi="仿宋" w:eastAsia="仿宋" w:cs="仿宋"/>
                <w:sz w:val="24"/>
                <w:highlight w:val="none"/>
              </w:rPr>
              <w:t>此数量为项目暂估数量，实际采购量以项目提料单为准。</w:t>
            </w:r>
          </w:p>
          <w:p w14:paraId="09EC1447">
            <w:pPr>
              <w:pStyle w:val="15"/>
              <w:numPr>
                <w:ilvl w:val="0"/>
                <w:numId w:val="2"/>
              </w:numPr>
              <w:adjustRightInd w:val="0"/>
              <w:snapToGrid w:val="0"/>
              <w:spacing w:line="360" w:lineRule="auto"/>
              <w:ind w:firstLineChars="0"/>
              <w:jc w:val="left"/>
              <w:rPr>
                <w:rFonts w:ascii="仿宋" w:hAnsi="仿宋" w:eastAsia="仿宋" w:cs="仿宋"/>
                <w:sz w:val="24"/>
                <w:highlight w:val="none"/>
              </w:rPr>
            </w:pPr>
            <w:r>
              <w:rPr>
                <w:rFonts w:hint="eastAsia" w:ascii="仿宋" w:hAnsi="仿宋" w:eastAsia="仿宋" w:cs="仿宋"/>
                <w:sz w:val="24"/>
                <w:highlight w:val="none"/>
              </w:rPr>
              <w:t>此报价为含税单价税率：</w:t>
            </w:r>
            <w:r>
              <w:rPr>
                <w:rFonts w:hint="eastAsia" w:ascii="仿宋" w:hAnsi="仿宋" w:eastAsia="仿宋" w:cs="仿宋"/>
                <w:sz w:val="24"/>
                <w:highlight w:val="none"/>
                <w:u w:val="single"/>
              </w:rPr>
              <w:t xml:space="preserve"> </w:t>
            </w:r>
            <w:r>
              <w:rPr>
                <w:rFonts w:ascii="仿宋" w:hAnsi="仿宋" w:eastAsia="仿宋" w:cs="仿宋"/>
                <w:sz w:val="24"/>
                <w:highlight w:val="none"/>
                <w:u w:val="single"/>
              </w:rPr>
              <w:t xml:space="preserve">  13</w:t>
            </w:r>
            <w:r>
              <w:rPr>
                <w:rFonts w:hint="eastAsia" w:ascii="仿宋" w:hAnsi="仿宋" w:eastAsia="仿宋" w:cs="仿宋"/>
                <w:sz w:val="24"/>
                <w:highlight w:val="none"/>
                <w:u w:val="single"/>
              </w:rPr>
              <w:t>%</w:t>
            </w:r>
            <w:r>
              <w:rPr>
                <w:rFonts w:ascii="仿宋" w:hAnsi="仿宋" w:eastAsia="仿宋" w:cs="仿宋"/>
                <w:sz w:val="24"/>
                <w:highlight w:val="none"/>
                <w:u w:val="single"/>
              </w:rPr>
              <w:t xml:space="preserve">   </w:t>
            </w:r>
            <w:r>
              <w:rPr>
                <w:rFonts w:hint="eastAsia" w:ascii="仿宋" w:hAnsi="仿宋" w:eastAsia="仿宋" w:cs="仿宋"/>
                <w:sz w:val="24"/>
                <w:highlight w:val="none"/>
              </w:rPr>
              <w:t>。</w:t>
            </w:r>
          </w:p>
        </w:tc>
      </w:tr>
    </w:tbl>
    <w:p w14:paraId="23C0AB4F">
      <w:pPr>
        <w:rPr>
          <w:b/>
          <w:sz w:val="32"/>
          <w:szCs w:val="32"/>
          <w:highlight w:val="none"/>
        </w:rPr>
      </w:pPr>
    </w:p>
    <w:bookmarkEnd w:id="1"/>
    <w:sectPr>
      <w:headerReference r:id="rId3" w:type="default"/>
      <w:pgSz w:w="11906" w:h="16838"/>
      <w:pgMar w:top="1091" w:right="1021" w:bottom="1091"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7D76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82C460"/>
    <w:multiLevelType w:val="singleLevel"/>
    <w:tmpl w:val="1882C460"/>
    <w:lvl w:ilvl="0" w:tentative="0">
      <w:start w:val="1"/>
      <w:numFmt w:val="decimal"/>
      <w:suff w:val="nothing"/>
      <w:lvlText w:val="%1、"/>
      <w:lvlJc w:val="left"/>
    </w:lvl>
  </w:abstractNum>
  <w:abstractNum w:abstractNumId="1">
    <w:nsid w:val="48BB6A99"/>
    <w:multiLevelType w:val="multilevel"/>
    <w:tmpl w:val="48BB6A9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YTBkZjA1ZTllYTRjNjMzMjBiMzFjMWUxYWNhNzUifQ=="/>
  </w:docVars>
  <w:rsids>
    <w:rsidRoot w:val="00705494"/>
    <w:rsid w:val="00002A22"/>
    <w:rsid w:val="00002B74"/>
    <w:rsid w:val="000051F0"/>
    <w:rsid w:val="000053E7"/>
    <w:rsid w:val="00006187"/>
    <w:rsid w:val="00006E32"/>
    <w:rsid w:val="000115B4"/>
    <w:rsid w:val="0001698D"/>
    <w:rsid w:val="000172D7"/>
    <w:rsid w:val="0001757E"/>
    <w:rsid w:val="00017D5F"/>
    <w:rsid w:val="00020050"/>
    <w:rsid w:val="000221CE"/>
    <w:rsid w:val="00023460"/>
    <w:rsid w:val="000234C2"/>
    <w:rsid w:val="00024001"/>
    <w:rsid w:val="00024718"/>
    <w:rsid w:val="000271A3"/>
    <w:rsid w:val="00030045"/>
    <w:rsid w:val="000332B8"/>
    <w:rsid w:val="00034997"/>
    <w:rsid w:val="00037B54"/>
    <w:rsid w:val="00041836"/>
    <w:rsid w:val="00041A93"/>
    <w:rsid w:val="00041F4E"/>
    <w:rsid w:val="00044A24"/>
    <w:rsid w:val="00047006"/>
    <w:rsid w:val="00051442"/>
    <w:rsid w:val="00051A74"/>
    <w:rsid w:val="00051E28"/>
    <w:rsid w:val="00054ECD"/>
    <w:rsid w:val="00055224"/>
    <w:rsid w:val="000578A9"/>
    <w:rsid w:val="00060B5A"/>
    <w:rsid w:val="00060E98"/>
    <w:rsid w:val="00061E9E"/>
    <w:rsid w:val="0006320F"/>
    <w:rsid w:val="000644A4"/>
    <w:rsid w:val="0006670B"/>
    <w:rsid w:val="0007225C"/>
    <w:rsid w:val="00073A00"/>
    <w:rsid w:val="00073FAA"/>
    <w:rsid w:val="00074F29"/>
    <w:rsid w:val="000758A9"/>
    <w:rsid w:val="00076F0F"/>
    <w:rsid w:val="00080839"/>
    <w:rsid w:val="00083BF2"/>
    <w:rsid w:val="00084B26"/>
    <w:rsid w:val="000852C7"/>
    <w:rsid w:val="000910DB"/>
    <w:rsid w:val="0009520E"/>
    <w:rsid w:val="000A6EAF"/>
    <w:rsid w:val="000A74BD"/>
    <w:rsid w:val="000A7738"/>
    <w:rsid w:val="000B04D2"/>
    <w:rsid w:val="000B1595"/>
    <w:rsid w:val="000B1CC3"/>
    <w:rsid w:val="000B5710"/>
    <w:rsid w:val="000B7F03"/>
    <w:rsid w:val="000C03D5"/>
    <w:rsid w:val="000C24C0"/>
    <w:rsid w:val="000C2D02"/>
    <w:rsid w:val="000D1F36"/>
    <w:rsid w:val="000D3A3D"/>
    <w:rsid w:val="000D44E0"/>
    <w:rsid w:val="000D4B66"/>
    <w:rsid w:val="000D5537"/>
    <w:rsid w:val="000D5B97"/>
    <w:rsid w:val="000D5CF1"/>
    <w:rsid w:val="000D6CC3"/>
    <w:rsid w:val="000D7441"/>
    <w:rsid w:val="000D75C8"/>
    <w:rsid w:val="000E243D"/>
    <w:rsid w:val="000E3236"/>
    <w:rsid w:val="000E3D73"/>
    <w:rsid w:val="000E3E1A"/>
    <w:rsid w:val="000E636B"/>
    <w:rsid w:val="000F0B6D"/>
    <w:rsid w:val="000F405E"/>
    <w:rsid w:val="000F5C1F"/>
    <w:rsid w:val="000F7E3B"/>
    <w:rsid w:val="00100A16"/>
    <w:rsid w:val="001029F1"/>
    <w:rsid w:val="00103546"/>
    <w:rsid w:val="00104E0F"/>
    <w:rsid w:val="00106857"/>
    <w:rsid w:val="0010709E"/>
    <w:rsid w:val="001100EC"/>
    <w:rsid w:val="00113FE4"/>
    <w:rsid w:val="00114A06"/>
    <w:rsid w:val="001156AF"/>
    <w:rsid w:val="00117AAC"/>
    <w:rsid w:val="001205DB"/>
    <w:rsid w:val="00120A34"/>
    <w:rsid w:val="001252BD"/>
    <w:rsid w:val="00126418"/>
    <w:rsid w:val="001264FC"/>
    <w:rsid w:val="00130197"/>
    <w:rsid w:val="001327B6"/>
    <w:rsid w:val="00133CAB"/>
    <w:rsid w:val="00136AC1"/>
    <w:rsid w:val="0013782E"/>
    <w:rsid w:val="00137EF8"/>
    <w:rsid w:val="001408BA"/>
    <w:rsid w:val="00140BC8"/>
    <w:rsid w:val="00140F18"/>
    <w:rsid w:val="00141DCC"/>
    <w:rsid w:val="00142262"/>
    <w:rsid w:val="00143636"/>
    <w:rsid w:val="00146092"/>
    <w:rsid w:val="00151F42"/>
    <w:rsid w:val="00152E33"/>
    <w:rsid w:val="001532A0"/>
    <w:rsid w:val="00155EA6"/>
    <w:rsid w:val="00157F4E"/>
    <w:rsid w:val="00161B0F"/>
    <w:rsid w:val="00161F43"/>
    <w:rsid w:val="00162B37"/>
    <w:rsid w:val="00162C4F"/>
    <w:rsid w:val="00162CB4"/>
    <w:rsid w:val="00165152"/>
    <w:rsid w:val="0016681D"/>
    <w:rsid w:val="00173F9E"/>
    <w:rsid w:val="001767D9"/>
    <w:rsid w:val="00176E28"/>
    <w:rsid w:val="00182328"/>
    <w:rsid w:val="0018381E"/>
    <w:rsid w:val="00184951"/>
    <w:rsid w:val="001871C9"/>
    <w:rsid w:val="00191968"/>
    <w:rsid w:val="001922E3"/>
    <w:rsid w:val="001929FD"/>
    <w:rsid w:val="001932DD"/>
    <w:rsid w:val="001934E2"/>
    <w:rsid w:val="00193FC6"/>
    <w:rsid w:val="00195FBD"/>
    <w:rsid w:val="001A1BDE"/>
    <w:rsid w:val="001A2151"/>
    <w:rsid w:val="001A32EE"/>
    <w:rsid w:val="001A3D07"/>
    <w:rsid w:val="001A5AA2"/>
    <w:rsid w:val="001A6C90"/>
    <w:rsid w:val="001B0D33"/>
    <w:rsid w:val="001B0D64"/>
    <w:rsid w:val="001B14EA"/>
    <w:rsid w:val="001B1952"/>
    <w:rsid w:val="001B301A"/>
    <w:rsid w:val="001B31D5"/>
    <w:rsid w:val="001B321B"/>
    <w:rsid w:val="001B42CB"/>
    <w:rsid w:val="001B4605"/>
    <w:rsid w:val="001B588F"/>
    <w:rsid w:val="001B59A9"/>
    <w:rsid w:val="001B7F75"/>
    <w:rsid w:val="001C233D"/>
    <w:rsid w:val="001C5157"/>
    <w:rsid w:val="001D3A40"/>
    <w:rsid w:val="001D5DE5"/>
    <w:rsid w:val="001D5ED5"/>
    <w:rsid w:val="001E10BD"/>
    <w:rsid w:val="001E198D"/>
    <w:rsid w:val="001E28DA"/>
    <w:rsid w:val="001E3631"/>
    <w:rsid w:val="001E7466"/>
    <w:rsid w:val="001F08A0"/>
    <w:rsid w:val="001F0D36"/>
    <w:rsid w:val="001F1F30"/>
    <w:rsid w:val="001F28F4"/>
    <w:rsid w:val="001F423C"/>
    <w:rsid w:val="001F7300"/>
    <w:rsid w:val="0020264C"/>
    <w:rsid w:val="00203DFE"/>
    <w:rsid w:val="00204B03"/>
    <w:rsid w:val="00205349"/>
    <w:rsid w:val="002059F8"/>
    <w:rsid w:val="00212BB8"/>
    <w:rsid w:val="002174C6"/>
    <w:rsid w:val="002200CF"/>
    <w:rsid w:val="00220511"/>
    <w:rsid w:val="002246E1"/>
    <w:rsid w:val="002262C0"/>
    <w:rsid w:val="00227B21"/>
    <w:rsid w:val="00227CD7"/>
    <w:rsid w:val="00231580"/>
    <w:rsid w:val="00231993"/>
    <w:rsid w:val="00232831"/>
    <w:rsid w:val="00234E5C"/>
    <w:rsid w:val="00236B83"/>
    <w:rsid w:val="00237E74"/>
    <w:rsid w:val="00241178"/>
    <w:rsid w:val="00241543"/>
    <w:rsid w:val="00246551"/>
    <w:rsid w:val="002529B7"/>
    <w:rsid w:val="00253CEB"/>
    <w:rsid w:val="00255F45"/>
    <w:rsid w:val="00256CE3"/>
    <w:rsid w:val="0026312D"/>
    <w:rsid w:val="00265382"/>
    <w:rsid w:val="00265E2A"/>
    <w:rsid w:val="00270CE0"/>
    <w:rsid w:val="00271307"/>
    <w:rsid w:val="00271565"/>
    <w:rsid w:val="00271ED7"/>
    <w:rsid w:val="00272721"/>
    <w:rsid w:val="0027364D"/>
    <w:rsid w:val="00273704"/>
    <w:rsid w:val="00275F8A"/>
    <w:rsid w:val="002769E5"/>
    <w:rsid w:val="002803D7"/>
    <w:rsid w:val="00280A5A"/>
    <w:rsid w:val="00281C8C"/>
    <w:rsid w:val="00282059"/>
    <w:rsid w:val="00285724"/>
    <w:rsid w:val="0028587F"/>
    <w:rsid w:val="00286138"/>
    <w:rsid w:val="00293DDA"/>
    <w:rsid w:val="00294DB6"/>
    <w:rsid w:val="002950D3"/>
    <w:rsid w:val="002959C6"/>
    <w:rsid w:val="0029621D"/>
    <w:rsid w:val="00297AFB"/>
    <w:rsid w:val="002A00EE"/>
    <w:rsid w:val="002A0BF7"/>
    <w:rsid w:val="002A17EF"/>
    <w:rsid w:val="002A341F"/>
    <w:rsid w:val="002A3895"/>
    <w:rsid w:val="002A3CD3"/>
    <w:rsid w:val="002A465A"/>
    <w:rsid w:val="002A4BA8"/>
    <w:rsid w:val="002B1A46"/>
    <w:rsid w:val="002B6480"/>
    <w:rsid w:val="002B7D01"/>
    <w:rsid w:val="002B7D25"/>
    <w:rsid w:val="002C13BF"/>
    <w:rsid w:val="002C1643"/>
    <w:rsid w:val="002C47EA"/>
    <w:rsid w:val="002C692B"/>
    <w:rsid w:val="002C70BA"/>
    <w:rsid w:val="002C727A"/>
    <w:rsid w:val="002C76A8"/>
    <w:rsid w:val="002D0D31"/>
    <w:rsid w:val="002D17D2"/>
    <w:rsid w:val="002D46DF"/>
    <w:rsid w:val="002D5E6F"/>
    <w:rsid w:val="002D68A3"/>
    <w:rsid w:val="002D6A10"/>
    <w:rsid w:val="002E56E1"/>
    <w:rsid w:val="002E5F9B"/>
    <w:rsid w:val="002E730E"/>
    <w:rsid w:val="002F0327"/>
    <w:rsid w:val="002F044D"/>
    <w:rsid w:val="002F0798"/>
    <w:rsid w:val="002F26CC"/>
    <w:rsid w:val="002F2E7B"/>
    <w:rsid w:val="00300D01"/>
    <w:rsid w:val="00301DB1"/>
    <w:rsid w:val="003046E9"/>
    <w:rsid w:val="003065BF"/>
    <w:rsid w:val="00310AD3"/>
    <w:rsid w:val="003115BA"/>
    <w:rsid w:val="0031591E"/>
    <w:rsid w:val="00320DD1"/>
    <w:rsid w:val="00320FCF"/>
    <w:rsid w:val="00326641"/>
    <w:rsid w:val="00326E54"/>
    <w:rsid w:val="00332954"/>
    <w:rsid w:val="0033469D"/>
    <w:rsid w:val="00340411"/>
    <w:rsid w:val="00345D07"/>
    <w:rsid w:val="003529DC"/>
    <w:rsid w:val="00355334"/>
    <w:rsid w:val="00355FFE"/>
    <w:rsid w:val="003610EC"/>
    <w:rsid w:val="00362C34"/>
    <w:rsid w:val="0036647C"/>
    <w:rsid w:val="00367242"/>
    <w:rsid w:val="00374039"/>
    <w:rsid w:val="00377FDF"/>
    <w:rsid w:val="00382365"/>
    <w:rsid w:val="0038492E"/>
    <w:rsid w:val="00385CDA"/>
    <w:rsid w:val="00386033"/>
    <w:rsid w:val="0039036D"/>
    <w:rsid w:val="0039549F"/>
    <w:rsid w:val="00396B52"/>
    <w:rsid w:val="003975AA"/>
    <w:rsid w:val="003A3CE0"/>
    <w:rsid w:val="003A66DF"/>
    <w:rsid w:val="003A6C10"/>
    <w:rsid w:val="003A7DE2"/>
    <w:rsid w:val="003B066C"/>
    <w:rsid w:val="003B2978"/>
    <w:rsid w:val="003B44B2"/>
    <w:rsid w:val="003B5A44"/>
    <w:rsid w:val="003B60B8"/>
    <w:rsid w:val="003B65FB"/>
    <w:rsid w:val="003B7ED5"/>
    <w:rsid w:val="003C772D"/>
    <w:rsid w:val="003C79C7"/>
    <w:rsid w:val="003C7A93"/>
    <w:rsid w:val="003D1CBF"/>
    <w:rsid w:val="003D283C"/>
    <w:rsid w:val="003D4CE7"/>
    <w:rsid w:val="003D4D0E"/>
    <w:rsid w:val="003D6876"/>
    <w:rsid w:val="003D73C2"/>
    <w:rsid w:val="003D7DC6"/>
    <w:rsid w:val="003E30EF"/>
    <w:rsid w:val="003E3498"/>
    <w:rsid w:val="003E4882"/>
    <w:rsid w:val="003E5B56"/>
    <w:rsid w:val="003E708B"/>
    <w:rsid w:val="003F2A9B"/>
    <w:rsid w:val="003F45FA"/>
    <w:rsid w:val="003F482B"/>
    <w:rsid w:val="0040248B"/>
    <w:rsid w:val="004027A3"/>
    <w:rsid w:val="00406972"/>
    <w:rsid w:val="00411F7B"/>
    <w:rsid w:val="00416D64"/>
    <w:rsid w:val="004229A8"/>
    <w:rsid w:val="0042555E"/>
    <w:rsid w:val="00425615"/>
    <w:rsid w:val="00426384"/>
    <w:rsid w:val="00426FFF"/>
    <w:rsid w:val="004273C0"/>
    <w:rsid w:val="00430EE9"/>
    <w:rsid w:val="004318C0"/>
    <w:rsid w:val="00431CC6"/>
    <w:rsid w:val="00435581"/>
    <w:rsid w:val="004363B8"/>
    <w:rsid w:val="004401A4"/>
    <w:rsid w:val="004450B7"/>
    <w:rsid w:val="00446269"/>
    <w:rsid w:val="0044680F"/>
    <w:rsid w:val="00447216"/>
    <w:rsid w:val="0045062C"/>
    <w:rsid w:val="0045178C"/>
    <w:rsid w:val="00455D5C"/>
    <w:rsid w:val="00456A24"/>
    <w:rsid w:val="0045728E"/>
    <w:rsid w:val="00457354"/>
    <w:rsid w:val="004610BC"/>
    <w:rsid w:val="00462378"/>
    <w:rsid w:val="00463B68"/>
    <w:rsid w:val="00463C35"/>
    <w:rsid w:val="00464294"/>
    <w:rsid w:val="004665D8"/>
    <w:rsid w:val="004668E8"/>
    <w:rsid w:val="00466A0E"/>
    <w:rsid w:val="00466EAE"/>
    <w:rsid w:val="00470677"/>
    <w:rsid w:val="00470760"/>
    <w:rsid w:val="00471280"/>
    <w:rsid w:val="00472890"/>
    <w:rsid w:val="004746ED"/>
    <w:rsid w:val="00475B54"/>
    <w:rsid w:val="0048125D"/>
    <w:rsid w:val="00481967"/>
    <w:rsid w:val="00487097"/>
    <w:rsid w:val="004904CD"/>
    <w:rsid w:val="0049062F"/>
    <w:rsid w:val="00490E37"/>
    <w:rsid w:val="00494D84"/>
    <w:rsid w:val="0049507D"/>
    <w:rsid w:val="0049681A"/>
    <w:rsid w:val="004A04B5"/>
    <w:rsid w:val="004A6406"/>
    <w:rsid w:val="004B1B7B"/>
    <w:rsid w:val="004B5359"/>
    <w:rsid w:val="004B5D4D"/>
    <w:rsid w:val="004B5F5A"/>
    <w:rsid w:val="004B627F"/>
    <w:rsid w:val="004B7982"/>
    <w:rsid w:val="004B79A7"/>
    <w:rsid w:val="004C1BC7"/>
    <w:rsid w:val="004C2B84"/>
    <w:rsid w:val="004C4179"/>
    <w:rsid w:val="004C41CB"/>
    <w:rsid w:val="004C4595"/>
    <w:rsid w:val="004C6BCB"/>
    <w:rsid w:val="004D01CF"/>
    <w:rsid w:val="004D0204"/>
    <w:rsid w:val="004D026C"/>
    <w:rsid w:val="004D0352"/>
    <w:rsid w:val="004D207A"/>
    <w:rsid w:val="004D2223"/>
    <w:rsid w:val="004D24FA"/>
    <w:rsid w:val="004D5E56"/>
    <w:rsid w:val="004D6688"/>
    <w:rsid w:val="004D6B2F"/>
    <w:rsid w:val="004D6FF6"/>
    <w:rsid w:val="004E0241"/>
    <w:rsid w:val="004E046D"/>
    <w:rsid w:val="004E0C44"/>
    <w:rsid w:val="004E425B"/>
    <w:rsid w:val="004E5F87"/>
    <w:rsid w:val="004E6ABF"/>
    <w:rsid w:val="004E70B8"/>
    <w:rsid w:val="004E76A3"/>
    <w:rsid w:val="004F2DEA"/>
    <w:rsid w:val="004F34EF"/>
    <w:rsid w:val="004F6DC2"/>
    <w:rsid w:val="004F700A"/>
    <w:rsid w:val="005016B2"/>
    <w:rsid w:val="00504F87"/>
    <w:rsid w:val="0050585F"/>
    <w:rsid w:val="00505D59"/>
    <w:rsid w:val="00507350"/>
    <w:rsid w:val="00507C55"/>
    <w:rsid w:val="00511CB9"/>
    <w:rsid w:val="00513DDC"/>
    <w:rsid w:val="00514459"/>
    <w:rsid w:val="00515231"/>
    <w:rsid w:val="005156DC"/>
    <w:rsid w:val="00523095"/>
    <w:rsid w:val="0052347E"/>
    <w:rsid w:val="00524868"/>
    <w:rsid w:val="0052566D"/>
    <w:rsid w:val="005263A2"/>
    <w:rsid w:val="0052730C"/>
    <w:rsid w:val="00527622"/>
    <w:rsid w:val="00534AEC"/>
    <w:rsid w:val="00534CDE"/>
    <w:rsid w:val="005567A0"/>
    <w:rsid w:val="0056253E"/>
    <w:rsid w:val="005629F2"/>
    <w:rsid w:val="00563052"/>
    <w:rsid w:val="005647C5"/>
    <w:rsid w:val="00564D1A"/>
    <w:rsid w:val="005655BE"/>
    <w:rsid w:val="005670C8"/>
    <w:rsid w:val="00571DFE"/>
    <w:rsid w:val="00574528"/>
    <w:rsid w:val="00576C13"/>
    <w:rsid w:val="00577260"/>
    <w:rsid w:val="00577771"/>
    <w:rsid w:val="005778A3"/>
    <w:rsid w:val="00581881"/>
    <w:rsid w:val="00583884"/>
    <w:rsid w:val="0058578F"/>
    <w:rsid w:val="00587694"/>
    <w:rsid w:val="00587704"/>
    <w:rsid w:val="00593973"/>
    <w:rsid w:val="0059462F"/>
    <w:rsid w:val="00595B7E"/>
    <w:rsid w:val="005A0C85"/>
    <w:rsid w:val="005A2C4D"/>
    <w:rsid w:val="005A66DF"/>
    <w:rsid w:val="005A67C0"/>
    <w:rsid w:val="005A6FD8"/>
    <w:rsid w:val="005A76FE"/>
    <w:rsid w:val="005B07F4"/>
    <w:rsid w:val="005B12C7"/>
    <w:rsid w:val="005B28F1"/>
    <w:rsid w:val="005C27B8"/>
    <w:rsid w:val="005C3F43"/>
    <w:rsid w:val="005C3FDB"/>
    <w:rsid w:val="005C4676"/>
    <w:rsid w:val="005C495F"/>
    <w:rsid w:val="005C57D1"/>
    <w:rsid w:val="005C612C"/>
    <w:rsid w:val="005C62A0"/>
    <w:rsid w:val="005D027A"/>
    <w:rsid w:val="005D29E0"/>
    <w:rsid w:val="005D2FC3"/>
    <w:rsid w:val="005D3052"/>
    <w:rsid w:val="005D618C"/>
    <w:rsid w:val="005D7D01"/>
    <w:rsid w:val="005E039D"/>
    <w:rsid w:val="005E1BF1"/>
    <w:rsid w:val="005E2554"/>
    <w:rsid w:val="005E5865"/>
    <w:rsid w:val="005F176F"/>
    <w:rsid w:val="005F2636"/>
    <w:rsid w:val="005F3073"/>
    <w:rsid w:val="005F4AFA"/>
    <w:rsid w:val="005F4B3C"/>
    <w:rsid w:val="005F5D05"/>
    <w:rsid w:val="00602C3B"/>
    <w:rsid w:val="0060335B"/>
    <w:rsid w:val="00605383"/>
    <w:rsid w:val="0060730C"/>
    <w:rsid w:val="00607AF0"/>
    <w:rsid w:val="0061145F"/>
    <w:rsid w:val="00613E91"/>
    <w:rsid w:val="00614472"/>
    <w:rsid w:val="00615E73"/>
    <w:rsid w:val="00621F48"/>
    <w:rsid w:val="00622AD7"/>
    <w:rsid w:val="00623EF7"/>
    <w:rsid w:val="006256A0"/>
    <w:rsid w:val="006262EB"/>
    <w:rsid w:val="00630E8E"/>
    <w:rsid w:val="0063155B"/>
    <w:rsid w:val="0063557A"/>
    <w:rsid w:val="00641F94"/>
    <w:rsid w:val="00642CF4"/>
    <w:rsid w:val="0064321E"/>
    <w:rsid w:val="00643686"/>
    <w:rsid w:val="00646084"/>
    <w:rsid w:val="006466D6"/>
    <w:rsid w:val="00651DCD"/>
    <w:rsid w:val="00652132"/>
    <w:rsid w:val="00653C93"/>
    <w:rsid w:val="006570C7"/>
    <w:rsid w:val="006630C6"/>
    <w:rsid w:val="00665945"/>
    <w:rsid w:val="00666B0A"/>
    <w:rsid w:val="00667B6E"/>
    <w:rsid w:val="00670A8C"/>
    <w:rsid w:val="006728E0"/>
    <w:rsid w:val="00674159"/>
    <w:rsid w:val="00674D66"/>
    <w:rsid w:val="006756F4"/>
    <w:rsid w:val="00677589"/>
    <w:rsid w:val="00682244"/>
    <w:rsid w:val="00682E28"/>
    <w:rsid w:val="00683B1B"/>
    <w:rsid w:val="00684C94"/>
    <w:rsid w:val="00684E37"/>
    <w:rsid w:val="006855C0"/>
    <w:rsid w:val="00686090"/>
    <w:rsid w:val="00686717"/>
    <w:rsid w:val="00691A5B"/>
    <w:rsid w:val="00693A70"/>
    <w:rsid w:val="00694EEB"/>
    <w:rsid w:val="0069517D"/>
    <w:rsid w:val="006A35E1"/>
    <w:rsid w:val="006A528A"/>
    <w:rsid w:val="006A5A66"/>
    <w:rsid w:val="006B0C85"/>
    <w:rsid w:val="006B0F66"/>
    <w:rsid w:val="006B4227"/>
    <w:rsid w:val="006B4C3D"/>
    <w:rsid w:val="006B6B4C"/>
    <w:rsid w:val="006B7A83"/>
    <w:rsid w:val="006C06CB"/>
    <w:rsid w:val="006C1E1B"/>
    <w:rsid w:val="006C39F9"/>
    <w:rsid w:val="006C3C30"/>
    <w:rsid w:val="006C4BCE"/>
    <w:rsid w:val="006C773E"/>
    <w:rsid w:val="006D1F53"/>
    <w:rsid w:val="006E0BBA"/>
    <w:rsid w:val="006E2A87"/>
    <w:rsid w:val="006E4FC2"/>
    <w:rsid w:val="006E768B"/>
    <w:rsid w:val="006F122D"/>
    <w:rsid w:val="006F37F2"/>
    <w:rsid w:val="006F798E"/>
    <w:rsid w:val="006F7B8C"/>
    <w:rsid w:val="006F7FF5"/>
    <w:rsid w:val="00704092"/>
    <w:rsid w:val="00705494"/>
    <w:rsid w:val="00705D66"/>
    <w:rsid w:val="00710237"/>
    <w:rsid w:val="00713B2C"/>
    <w:rsid w:val="00713E82"/>
    <w:rsid w:val="007167A2"/>
    <w:rsid w:val="00717DA4"/>
    <w:rsid w:val="00720668"/>
    <w:rsid w:val="00721DE6"/>
    <w:rsid w:val="0072380D"/>
    <w:rsid w:val="007242E3"/>
    <w:rsid w:val="007257E0"/>
    <w:rsid w:val="00725D6D"/>
    <w:rsid w:val="00725DA3"/>
    <w:rsid w:val="00727B3F"/>
    <w:rsid w:val="007301F1"/>
    <w:rsid w:val="0073232B"/>
    <w:rsid w:val="007345B2"/>
    <w:rsid w:val="007346DD"/>
    <w:rsid w:val="007349E2"/>
    <w:rsid w:val="00734F9A"/>
    <w:rsid w:val="0073527B"/>
    <w:rsid w:val="007373BF"/>
    <w:rsid w:val="0073772F"/>
    <w:rsid w:val="00737954"/>
    <w:rsid w:val="007400C1"/>
    <w:rsid w:val="007412D9"/>
    <w:rsid w:val="0074196E"/>
    <w:rsid w:val="00742EF4"/>
    <w:rsid w:val="00743959"/>
    <w:rsid w:val="00743CD6"/>
    <w:rsid w:val="00745AEB"/>
    <w:rsid w:val="0075129A"/>
    <w:rsid w:val="00752BB2"/>
    <w:rsid w:val="00754B1D"/>
    <w:rsid w:val="00756E57"/>
    <w:rsid w:val="00760B76"/>
    <w:rsid w:val="007611BD"/>
    <w:rsid w:val="007633B7"/>
    <w:rsid w:val="00765508"/>
    <w:rsid w:val="00765E79"/>
    <w:rsid w:val="00766AD2"/>
    <w:rsid w:val="00770831"/>
    <w:rsid w:val="00770A4E"/>
    <w:rsid w:val="00771EAE"/>
    <w:rsid w:val="007720F3"/>
    <w:rsid w:val="00774316"/>
    <w:rsid w:val="00780511"/>
    <w:rsid w:val="0078394E"/>
    <w:rsid w:val="00790CE4"/>
    <w:rsid w:val="007918B5"/>
    <w:rsid w:val="00791F57"/>
    <w:rsid w:val="007928BA"/>
    <w:rsid w:val="00792D57"/>
    <w:rsid w:val="007930CC"/>
    <w:rsid w:val="00794C01"/>
    <w:rsid w:val="007963C5"/>
    <w:rsid w:val="00796AA1"/>
    <w:rsid w:val="00796D90"/>
    <w:rsid w:val="0079795E"/>
    <w:rsid w:val="007A22D6"/>
    <w:rsid w:val="007A3827"/>
    <w:rsid w:val="007A72BD"/>
    <w:rsid w:val="007A7892"/>
    <w:rsid w:val="007B08A8"/>
    <w:rsid w:val="007C507A"/>
    <w:rsid w:val="007C711A"/>
    <w:rsid w:val="007D1769"/>
    <w:rsid w:val="007D185A"/>
    <w:rsid w:val="007D1A96"/>
    <w:rsid w:val="007D1A98"/>
    <w:rsid w:val="007D1D16"/>
    <w:rsid w:val="007D2200"/>
    <w:rsid w:val="007D24CD"/>
    <w:rsid w:val="007D5FE3"/>
    <w:rsid w:val="007D61DD"/>
    <w:rsid w:val="007D7EF0"/>
    <w:rsid w:val="007D7F0F"/>
    <w:rsid w:val="007E0AA0"/>
    <w:rsid w:val="007E434F"/>
    <w:rsid w:val="007E4824"/>
    <w:rsid w:val="007E6F6C"/>
    <w:rsid w:val="007F11FB"/>
    <w:rsid w:val="007F5DD6"/>
    <w:rsid w:val="007F6D4A"/>
    <w:rsid w:val="008008E6"/>
    <w:rsid w:val="00801B71"/>
    <w:rsid w:val="00801C9B"/>
    <w:rsid w:val="00802D9D"/>
    <w:rsid w:val="0080311A"/>
    <w:rsid w:val="0080467B"/>
    <w:rsid w:val="00804E3C"/>
    <w:rsid w:val="00806E31"/>
    <w:rsid w:val="008078C9"/>
    <w:rsid w:val="008113CE"/>
    <w:rsid w:val="00811450"/>
    <w:rsid w:val="00811722"/>
    <w:rsid w:val="00813953"/>
    <w:rsid w:val="008209F9"/>
    <w:rsid w:val="00822CC9"/>
    <w:rsid w:val="0082310F"/>
    <w:rsid w:val="008259A3"/>
    <w:rsid w:val="0083419F"/>
    <w:rsid w:val="00834EE4"/>
    <w:rsid w:val="008351A0"/>
    <w:rsid w:val="00835F85"/>
    <w:rsid w:val="00841B40"/>
    <w:rsid w:val="0084283E"/>
    <w:rsid w:val="00843289"/>
    <w:rsid w:val="00844162"/>
    <w:rsid w:val="008449F5"/>
    <w:rsid w:val="00846D84"/>
    <w:rsid w:val="008509EE"/>
    <w:rsid w:val="00853C6C"/>
    <w:rsid w:val="00857E39"/>
    <w:rsid w:val="008615CF"/>
    <w:rsid w:val="0086413E"/>
    <w:rsid w:val="008651DD"/>
    <w:rsid w:val="00866E4C"/>
    <w:rsid w:val="0088045D"/>
    <w:rsid w:val="0088164B"/>
    <w:rsid w:val="008841C8"/>
    <w:rsid w:val="00890282"/>
    <w:rsid w:val="00892829"/>
    <w:rsid w:val="00893B09"/>
    <w:rsid w:val="00895577"/>
    <w:rsid w:val="008959CF"/>
    <w:rsid w:val="008A0D74"/>
    <w:rsid w:val="008A10C7"/>
    <w:rsid w:val="008A170B"/>
    <w:rsid w:val="008A194F"/>
    <w:rsid w:val="008A1AAC"/>
    <w:rsid w:val="008A2963"/>
    <w:rsid w:val="008A2C58"/>
    <w:rsid w:val="008A3E5B"/>
    <w:rsid w:val="008A5934"/>
    <w:rsid w:val="008A711B"/>
    <w:rsid w:val="008A7F3B"/>
    <w:rsid w:val="008B2D15"/>
    <w:rsid w:val="008B305D"/>
    <w:rsid w:val="008B4C0F"/>
    <w:rsid w:val="008C221A"/>
    <w:rsid w:val="008C2DAA"/>
    <w:rsid w:val="008C4666"/>
    <w:rsid w:val="008C6C35"/>
    <w:rsid w:val="008D056F"/>
    <w:rsid w:val="008D1519"/>
    <w:rsid w:val="008D1A45"/>
    <w:rsid w:val="008D2D57"/>
    <w:rsid w:val="008D4157"/>
    <w:rsid w:val="008D47E0"/>
    <w:rsid w:val="008D4ECC"/>
    <w:rsid w:val="008D500D"/>
    <w:rsid w:val="008E1A1D"/>
    <w:rsid w:val="008E20FC"/>
    <w:rsid w:val="008E228B"/>
    <w:rsid w:val="008E33BA"/>
    <w:rsid w:val="008E3864"/>
    <w:rsid w:val="008E476B"/>
    <w:rsid w:val="008E4DC4"/>
    <w:rsid w:val="008E597A"/>
    <w:rsid w:val="008E6691"/>
    <w:rsid w:val="008E7169"/>
    <w:rsid w:val="008F1522"/>
    <w:rsid w:val="008F42EB"/>
    <w:rsid w:val="008F4566"/>
    <w:rsid w:val="008F4ABB"/>
    <w:rsid w:val="009005D8"/>
    <w:rsid w:val="009008F2"/>
    <w:rsid w:val="00900AD1"/>
    <w:rsid w:val="00902708"/>
    <w:rsid w:val="0090371B"/>
    <w:rsid w:val="00905192"/>
    <w:rsid w:val="009070A9"/>
    <w:rsid w:val="00907561"/>
    <w:rsid w:val="009104FF"/>
    <w:rsid w:val="00910F1E"/>
    <w:rsid w:val="009127B8"/>
    <w:rsid w:val="009127E3"/>
    <w:rsid w:val="00914EBE"/>
    <w:rsid w:val="009153F5"/>
    <w:rsid w:val="00920EEC"/>
    <w:rsid w:val="0092289C"/>
    <w:rsid w:val="00922912"/>
    <w:rsid w:val="009233B3"/>
    <w:rsid w:val="00924822"/>
    <w:rsid w:val="00924BE2"/>
    <w:rsid w:val="00925A3E"/>
    <w:rsid w:val="00930DEB"/>
    <w:rsid w:val="00931A8C"/>
    <w:rsid w:val="00932138"/>
    <w:rsid w:val="00932677"/>
    <w:rsid w:val="0093622A"/>
    <w:rsid w:val="00937CA8"/>
    <w:rsid w:val="00937FD5"/>
    <w:rsid w:val="00941D10"/>
    <w:rsid w:val="00941EDB"/>
    <w:rsid w:val="00942510"/>
    <w:rsid w:val="00944DDA"/>
    <w:rsid w:val="00947C30"/>
    <w:rsid w:val="009517F8"/>
    <w:rsid w:val="00960778"/>
    <w:rsid w:val="0096330E"/>
    <w:rsid w:val="00963615"/>
    <w:rsid w:val="0096533C"/>
    <w:rsid w:val="0096551B"/>
    <w:rsid w:val="00965B94"/>
    <w:rsid w:val="00966B8E"/>
    <w:rsid w:val="00970AF1"/>
    <w:rsid w:val="00972F9B"/>
    <w:rsid w:val="00974976"/>
    <w:rsid w:val="00976888"/>
    <w:rsid w:val="0097693F"/>
    <w:rsid w:val="0098037C"/>
    <w:rsid w:val="0098149A"/>
    <w:rsid w:val="0098176B"/>
    <w:rsid w:val="00982588"/>
    <w:rsid w:val="009844D2"/>
    <w:rsid w:val="00984608"/>
    <w:rsid w:val="00986F7F"/>
    <w:rsid w:val="00990B51"/>
    <w:rsid w:val="009930BD"/>
    <w:rsid w:val="00994223"/>
    <w:rsid w:val="009945C9"/>
    <w:rsid w:val="0099622C"/>
    <w:rsid w:val="009979A8"/>
    <w:rsid w:val="009A27D6"/>
    <w:rsid w:val="009A4573"/>
    <w:rsid w:val="009A45C8"/>
    <w:rsid w:val="009A7376"/>
    <w:rsid w:val="009B0D73"/>
    <w:rsid w:val="009B28A5"/>
    <w:rsid w:val="009B4B04"/>
    <w:rsid w:val="009B6006"/>
    <w:rsid w:val="009B72A7"/>
    <w:rsid w:val="009B7813"/>
    <w:rsid w:val="009C1075"/>
    <w:rsid w:val="009C57BD"/>
    <w:rsid w:val="009C616C"/>
    <w:rsid w:val="009C68EB"/>
    <w:rsid w:val="009C7440"/>
    <w:rsid w:val="009D092E"/>
    <w:rsid w:val="009D0E8F"/>
    <w:rsid w:val="009D2672"/>
    <w:rsid w:val="009D42A5"/>
    <w:rsid w:val="009D4B0A"/>
    <w:rsid w:val="009D4C7E"/>
    <w:rsid w:val="009D59D4"/>
    <w:rsid w:val="009D68FF"/>
    <w:rsid w:val="009E19BB"/>
    <w:rsid w:val="009E2AB9"/>
    <w:rsid w:val="009E4604"/>
    <w:rsid w:val="009E7C28"/>
    <w:rsid w:val="009F2F7D"/>
    <w:rsid w:val="009F4172"/>
    <w:rsid w:val="009F5B34"/>
    <w:rsid w:val="009F6047"/>
    <w:rsid w:val="009F6711"/>
    <w:rsid w:val="009F6A79"/>
    <w:rsid w:val="00A00619"/>
    <w:rsid w:val="00A0404E"/>
    <w:rsid w:val="00A0482D"/>
    <w:rsid w:val="00A04A8F"/>
    <w:rsid w:val="00A04AB5"/>
    <w:rsid w:val="00A12C18"/>
    <w:rsid w:val="00A154E1"/>
    <w:rsid w:val="00A156FC"/>
    <w:rsid w:val="00A21B0A"/>
    <w:rsid w:val="00A22AAF"/>
    <w:rsid w:val="00A22D1D"/>
    <w:rsid w:val="00A32A7A"/>
    <w:rsid w:val="00A37AD8"/>
    <w:rsid w:val="00A404B3"/>
    <w:rsid w:val="00A40F61"/>
    <w:rsid w:val="00A41EDD"/>
    <w:rsid w:val="00A41F42"/>
    <w:rsid w:val="00A435C1"/>
    <w:rsid w:val="00A466A5"/>
    <w:rsid w:val="00A53984"/>
    <w:rsid w:val="00A54001"/>
    <w:rsid w:val="00A61274"/>
    <w:rsid w:val="00A637D8"/>
    <w:rsid w:val="00A63DDA"/>
    <w:rsid w:val="00A63FA4"/>
    <w:rsid w:val="00A656D8"/>
    <w:rsid w:val="00A6586F"/>
    <w:rsid w:val="00A66CF9"/>
    <w:rsid w:val="00A72BBD"/>
    <w:rsid w:val="00A75126"/>
    <w:rsid w:val="00A83D5A"/>
    <w:rsid w:val="00A8421D"/>
    <w:rsid w:val="00A84A63"/>
    <w:rsid w:val="00A85555"/>
    <w:rsid w:val="00A85A26"/>
    <w:rsid w:val="00A85CE5"/>
    <w:rsid w:val="00A86373"/>
    <w:rsid w:val="00A866EA"/>
    <w:rsid w:val="00A86CC8"/>
    <w:rsid w:val="00A86FD6"/>
    <w:rsid w:val="00A91162"/>
    <w:rsid w:val="00A911FD"/>
    <w:rsid w:val="00A956A9"/>
    <w:rsid w:val="00A96BB8"/>
    <w:rsid w:val="00A97645"/>
    <w:rsid w:val="00AA12C3"/>
    <w:rsid w:val="00AA1B4F"/>
    <w:rsid w:val="00AA4063"/>
    <w:rsid w:val="00AA49C9"/>
    <w:rsid w:val="00AA64E7"/>
    <w:rsid w:val="00AA6C81"/>
    <w:rsid w:val="00AB0C81"/>
    <w:rsid w:val="00AB11AB"/>
    <w:rsid w:val="00AB11E9"/>
    <w:rsid w:val="00AB322C"/>
    <w:rsid w:val="00AB51FE"/>
    <w:rsid w:val="00AB58EC"/>
    <w:rsid w:val="00AB5D5F"/>
    <w:rsid w:val="00AC3058"/>
    <w:rsid w:val="00AC4304"/>
    <w:rsid w:val="00AC4EE4"/>
    <w:rsid w:val="00AC52E0"/>
    <w:rsid w:val="00AC5AD3"/>
    <w:rsid w:val="00AC61C0"/>
    <w:rsid w:val="00AD44D4"/>
    <w:rsid w:val="00AD52B2"/>
    <w:rsid w:val="00AD7F8B"/>
    <w:rsid w:val="00AE2BF1"/>
    <w:rsid w:val="00AE3333"/>
    <w:rsid w:val="00AE3935"/>
    <w:rsid w:val="00AE480A"/>
    <w:rsid w:val="00AE6924"/>
    <w:rsid w:val="00AE70EB"/>
    <w:rsid w:val="00AF0009"/>
    <w:rsid w:val="00AF3D52"/>
    <w:rsid w:val="00AF4A66"/>
    <w:rsid w:val="00AF6C8B"/>
    <w:rsid w:val="00B01E7E"/>
    <w:rsid w:val="00B02382"/>
    <w:rsid w:val="00B04645"/>
    <w:rsid w:val="00B075FA"/>
    <w:rsid w:val="00B1229E"/>
    <w:rsid w:val="00B131CD"/>
    <w:rsid w:val="00B1320E"/>
    <w:rsid w:val="00B133B8"/>
    <w:rsid w:val="00B149C9"/>
    <w:rsid w:val="00B1538D"/>
    <w:rsid w:val="00B158EF"/>
    <w:rsid w:val="00B16679"/>
    <w:rsid w:val="00B16FE3"/>
    <w:rsid w:val="00B17E20"/>
    <w:rsid w:val="00B20364"/>
    <w:rsid w:val="00B21796"/>
    <w:rsid w:val="00B227AE"/>
    <w:rsid w:val="00B25273"/>
    <w:rsid w:val="00B3282F"/>
    <w:rsid w:val="00B334FB"/>
    <w:rsid w:val="00B351DB"/>
    <w:rsid w:val="00B36046"/>
    <w:rsid w:val="00B370B1"/>
    <w:rsid w:val="00B407C5"/>
    <w:rsid w:val="00B42014"/>
    <w:rsid w:val="00B423BD"/>
    <w:rsid w:val="00B460D4"/>
    <w:rsid w:val="00B46F5D"/>
    <w:rsid w:val="00B5051C"/>
    <w:rsid w:val="00B508EE"/>
    <w:rsid w:val="00B51597"/>
    <w:rsid w:val="00B544BD"/>
    <w:rsid w:val="00B55643"/>
    <w:rsid w:val="00B60070"/>
    <w:rsid w:val="00B61DE1"/>
    <w:rsid w:val="00B65C3F"/>
    <w:rsid w:val="00B666BE"/>
    <w:rsid w:val="00B7071D"/>
    <w:rsid w:val="00B714B0"/>
    <w:rsid w:val="00B718BE"/>
    <w:rsid w:val="00B7192F"/>
    <w:rsid w:val="00B7530A"/>
    <w:rsid w:val="00B80845"/>
    <w:rsid w:val="00B82C28"/>
    <w:rsid w:val="00B839AD"/>
    <w:rsid w:val="00B84C36"/>
    <w:rsid w:val="00B860E3"/>
    <w:rsid w:val="00B875E8"/>
    <w:rsid w:val="00B90231"/>
    <w:rsid w:val="00B90D94"/>
    <w:rsid w:val="00B9161A"/>
    <w:rsid w:val="00B91E53"/>
    <w:rsid w:val="00B93ECD"/>
    <w:rsid w:val="00B94DD4"/>
    <w:rsid w:val="00B9692B"/>
    <w:rsid w:val="00B97FD6"/>
    <w:rsid w:val="00BA0C8D"/>
    <w:rsid w:val="00BA2E18"/>
    <w:rsid w:val="00BA7BFB"/>
    <w:rsid w:val="00BB1D90"/>
    <w:rsid w:val="00BB3799"/>
    <w:rsid w:val="00BB690C"/>
    <w:rsid w:val="00BB6A25"/>
    <w:rsid w:val="00BC0476"/>
    <w:rsid w:val="00BC2735"/>
    <w:rsid w:val="00BC2B04"/>
    <w:rsid w:val="00BC4E0E"/>
    <w:rsid w:val="00BC5452"/>
    <w:rsid w:val="00BC5877"/>
    <w:rsid w:val="00BC5F1F"/>
    <w:rsid w:val="00BC60FA"/>
    <w:rsid w:val="00BD1117"/>
    <w:rsid w:val="00BD194D"/>
    <w:rsid w:val="00BD6199"/>
    <w:rsid w:val="00BD71F7"/>
    <w:rsid w:val="00BD77BD"/>
    <w:rsid w:val="00BE0B6D"/>
    <w:rsid w:val="00BE227C"/>
    <w:rsid w:val="00BE699A"/>
    <w:rsid w:val="00BE7918"/>
    <w:rsid w:val="00BF081B"/>
    <w:rsid w:val="00BF19A0"/>
    <w:rsid w:val="00BF358D"/>
    <w:rsid w:val="00BF4253"/>
    <w:rsid w:val="00BF49B6"/>
    <w:rsid w:val="00BF5700"/>
    <w:rsid w:val="00BF5EC8"/>
    <w:rsid w:val="00BF6112"/>
    <w:rsid w:val="00BF7D38"/>
    <w:rsid w:val="00C01B34"/>
    <w:rsid w:val="00C0244F"/>
    <w:rsid w:val="00C02D16"/>
    <w:rsid w:val="00C04564"/>
    <w:rsid w:val="00C06BE4"/>
    <w:rsid w:val="00C07A8B"/>
    <w:rsid w:val="00C10450"/>
    <w:rsid w:val="00C14629"/>
    <w:rsid w:val="00C14988"/>
    <w:rsid w:val="00C17DC5"/>
    <w:rsid w:val="00C21743"/>
    <w:rsid w:val="00C23D55"/>
    <w:rsid w:val="00C244CC"/>
    <w:rsid w:val="00C24F77"/>
    <w:rsid w:val="00C32E52"/>
    <w:rsid w:val="00C33847"/>
    <w:rsid w:val="00C33BEA"/>
    <w:rsid w:val="00C42DF0"/>
    <w:rsid w:val="00C46607"/>
    <w:rsid w:val="00C506AA"/>
    <w:rsid w:val="00C5268A"/>
    <w:rsid w:val="00C538C4"/>
    <w:rsid w:val="00C5458D"/>
    <w:rsid w:val="00C5652B"/>
    <w:rsid w:val="00C565B4"/>
    <w:rsid w:val="00C60843"/>
    <w:rsid w:val="00C60DDE"/>
    <w:rsid w:val="00C61DA8"/>
    <w:rsid w:val="00C650E9"/>
    <w:rsid w:val="00C65844"/>
    <w:rsid w:val="00C66C66"/>
    <w:rsid w:val="00C717E0"/>
    <w:rsid w:val="00C7185F"/>
    <w:rsid w:val="00C721FB"/>
    <w:rsid w:val="00C72BA5"/>
    <w:rsid w:val="00C76DE1"/>
    <w:rsid w:val="00C81B08"/>
    <w:rsid w:val="00C8466C"/>
    <w:rsid w:val="00C84ABB"/>
    <w:rsid w:val="00C86ED6"/>
    <w:rsid w:val="00C90EA2"/>
    <w:rsid w:val="00C912C5"/>
    <w:rsid w:val="00C93144"/>
    <w:rsid w:val="00C9439A"/>
    <w:rsid w:val="00C94C42"/>
    <w:rsid w:val="00C96760"/>
    <w:rsid w:val="00CA0FB2"/>
    <w:rsid w:val="00CA3C8A"/>
    <w:rsid w:val="00CA5021"/>
    <w:rsid w:val="00CA51F9"/>
    <w:rsid w:val="00CA574C"/>
    <w:rsid w:val="00CA5A5E"/>
    <w:rsid w:val="00CA6468"/>
    <w:rsid w:val="00CB105C"/>
    <w:rsid w:val="00CB10F6"/>
    <w:rsid w:val="00CB1EA0"/>
    <w:rsid w:val="00CB28D2"/>
    <w:rsid w:val="00CB3140"/>
    <w:rsid w:val="00CB51F9"/>
    <w:rsid w:val="00CB60F0"/>
    <w:rsid w:val="00CC1936"/>
    <w:rsid w:val="00CC2FA0"/>
    <w:rsid w:val="00CC6216"/>
    <w:rsid w:val="00CC6DFB"/>
    <w:rsid w:val="00CD11CA"/>
    <w:rsid w:val="00CD1533"/>
    <w:rsid w:val="00CD76FC"/>
    <w:rsid w:val="00CE53FB"/>
    <w:rsid w:val="00CE5B54"/>
    <w:rsid w:val="00CE6FD2"/>
    <w:rsid w:val="00CF04F8"/>
    <w:rsid w:val="00CF0F6D"/>
    <w:rsid w:val="00D006C9"/>
    <w:rsid w:val="00D025D1"/>
    <w:rsid w:val="00D04C5B"/>
    <w:rsid w:val="00D07827"/>
    <w:rsid w:val="00D1097D"/>
    <w:rsid w:val="00D11160"/>
    <w:rsid w:val="00D1233F"/>
    <w:rsid w:val="00D12AD9"/>
    <w:rsid w:val="00D133FC"/>
    <w:rsid w:val="00D15B50"/>
    <w:rsid w:val="00D16698"/>
    <w:rsid w:val="00D214AE"/>
    <w:rsid w:val="00D2204A"/>
    <w:rsid w:val="00D22895"/>
    <w:rsid w:val="00D26DCE"/>
    <w:rsid w:val="00D277F0"/>
    <w:rsid w:val="00D27AFA"/>
    <w:rsid w:val="00D30569"/>
    <w:rsid w:val="00D30889"/>
    <w:rsid w:val="00D357A0"/>
    <w:rsid w:val="00D37C3D"/>
    <w:rsid w:val="00D41896"/>
    <w:rsid w:val="00D43BB4"/>
    <w:rsid w:val="00D43FD9"/>
    <w:rsid w:val="00D51947"/>
    <w:rsid w:val="00D52D50"/>
    <w:rsid w:val="00D575C6"/>
    <w:rsid w:val="00D57981"/>
    <w:rsid w:val="00D57D58"/>
    <w:rsid w:val="00D600FE"/>
    <w:rsid w:val="00D6247E"/>
    <w:rsid w:val="00D64823"/>
    <w:rsid w:val="00D66BF5"/>
    <w:rsid w:val="00D702AF"/>
    <w:rsid w:val="00D7136B"/>
    <w:rsid w:val="00D739B2"/>
    <w:rsid w:val="00D75F96"/>
    <w:rsid w:val="00D817D6"/>
    <w:rsid w:val="00D819E0"/>
    <w:rsid w:val="00D83B07"/>
    <w:rsid w:val="00D85AA9"/>
    <w:rsid w:val="00D85D0F"/>
    <w:rsid w:val="00D86033"/>
    <w:rsid w:val="00D866F0"/>
    <w:rsid w:val="00D870F0"/>
    <w:rsid w:val="00D87F62"/>
    <w:rsid w:val="00D922B5"/>
    <w:rsid w:val="00D92552"/>
    <w:rsid w:val="00D94FEB"/>
    <w:rsid w:val="00D97C38"/>
    <w:rsid w:val="00DA0294"/>
    <w:rsid w:val="00DA2DC7"/>
    <w:rsid w:val="00DA740F"/>
    <w:rsid w:val="00DB03A5"/>
    <w:rsid w:val="00DB1F27"/>
    <w:rsid w:val="00DB47D8"/>
    <w:rsid w:val="00DB7770"/>
    <w:rsid w:val="00DB77D1"/>
    <w:rsid w:val="00DC400F"/>
    <w:rsid w:val="00DD2246"/>
    <w:rsid w:val="00DD2F2D"/>
    <w:rsid w:val="00DD4850"/>
    <w:rsid w:val="00DD518F"/>
    <w:rsid w:val="00DD5519"/>
    <w:rsid w:val="00DD5DFD"/>
    <w:rsid w:val="00DD6238"/>
    <w:rsid w:val="00DD70B5"/>
    <w:rsid w:val="00DE163C"/>
    <w:rsid w:val="00DE2CF3"/>
    <w:rsid w:val="00DE30E4"/>
    <w:rsid w:val="00DE3910"/>
    <w:rsid w:val="00DE4E12"/>
    <w:rsid w:val="00DE5D7F"/>
    <w:rsid w:val="00DE64DA"/>
    <w:rsid w:val="00DF3051"/>
    <w:rsid w:val="00DF3CF0"/>
    <w:rsid w:val="00DF56BA"/>
    <w:rsid w:val="00DF5F6E"/>
    <w:rsid w:val="00DF7C24"/>
    <w:rsid w:val="00DF7E6A"/>
    <w:rsid w:val="00E01BB6"/>
    <w:rsid w:val="00E039C2"/>
    <w:rsid w:val="00E063CE"/>
    <w:rsid w:val="00E10BA6"/>
    <w:rsid w:val="00E123E3"/>
    <w:rsid w:val="00E14135"/>
    <w:rsid w:val="00E1480E"/>
    <w:rsid w:val="00E15543"/>
    <w:rsid w:val="00E16B9B"/>
    <w:rsid w:val="00E223D6"/>
    <w:rsid w:val="00E23420"/>
    <w:rsid w:val="00E239E5"/>
    <w:rsid w:val="00E24D3F"/>
    <w:rsid w:val="00E25315"/>
    <w:rsid w:val="00E257C8"/>
    <w:rsid w:val="00E267E3"/>
    <w:rsid w:val="00E321B6"/>
    <w:rsid w:val="00E334DA"/>
    <w:rsid w:val="00E35874"/>
    <w:rsid w:val="00E37116"/>
    <w:rsid w:val="00E417ED"/>
    <w:rsid w:val="00E42C7D"/>
    <w:rsid w:val="00E4303A"/>
    <w:rsid w:val="00E442DD"/>
    <w:rsid w:val="00E513F0"/>
    <w:rsid w:val="00E523B7"/>
    <w:rsid w:val="00E53B0F"/>
    <w:rsid w:val="00E53E4E"/>
    <w:rsid w:val="00E61A69"/>
    <w:rsid w:val="00E62DC1"/>
    <w:rsid w:val="00E6556D"/>
    <w:rsid w:val="00E6684B"/>
    <w:rsid w:val="00E67374"/>
    <w:rsid w:val="00E67C28"/>
    <w:rsid w:val="00E7060F"/>
    <w:rsid w:val="00E725ED"/>
    <w:rsid w:val="00E729E3"/>
    <w:rsid w:val="00E74DA9"/>
    <w:rsid w:val="00E762F1"/>
    <w:rsid w:val="00E77A74"/>
    <w:rsid w:val="00E82657"/>
    <w:rsid w:val="00E8266B"/>
    <w:rsid w:val="00E8290B"/>
    <w:rsid w:val="00E834A6"/>
    <w:rsid w:val="00E84427"/>
    <w:rsid w:val="00E84D34"/>
    <w:rsid w:val="00E84F72"/>
    <w:rsid w:val="00E87C78"/>
    <w:rsid w:val="00E87E6E"/>
    <w:rsid w:val="00E95AB7"/>
    <w:rsid w:val="00E9613D"/>
    <w:rsid w:val="00EA1C58"/>
    <w:rsid w:val="00EA383C"/>
    <w:rsid w:val="00EA3E62"/>
    <w:rsid w:val="00EA42C9"/>
    <w:rsid w:val="00EA501C"/>
    <w:rsid w:val="00EA7A64"/>
    <w:rsid w:val="00EB00F2"/>
    <w:rsid w:val="00EB0858"/>
    <w:rsid w:val="00EB38C0"/>
    <w:rsid w:val="00EB5466"/>
    <w:rsid w:val="00EB7135"/>
    <w:rsid w:val="00EC5C45"/>
    <w:rsid w:val="00ED106B"/>
    <w:rsid w:val="00ED2BD5"/>
    <w:rsid w:val="00ED47F9"/>
    <w:rsid w:val="00ED68CD"/>
    <w:rsid w:val="00ED7566"/>
    <w:rsid w:val="00ED7599"/>
    <w:rsid w:val="00EE145B"/>
    <w:rsid w:val="00EE357C"/>
    <w:rsid w:val="00EE40DD"/>
    <w:rsid w:val="00EE5AD4"/>
    <w:rsid w:val="00EE5E51"/>
    <w:rsid w:val="00EF432A"/>
    <w:rsid w:val="00EF49FF"/>
    <w:rsid w:val="00EF4AB5"/>
    <w:rsid w:val="00EF4D59"/>
    <w:rsid w:val="00EF7DC6"/>
    <w:rsid w:val="00F06E9C"/>
    <w:rsid w:val="00F101F3"/>
    <w:rsid w:val="00F108C6"/>
    <w:rsid w:val="00F12415"/>
    <w:rsid w:val="00F131EF"/>
    <w:rsid w:val="00F15E69"/>
    <w:rsid w:val="00F16E9E"/>
    <w:rsid w:val="00F17239"/>
    <w:rsid w:val="00F1770C"/>
    <w:rsid w:val="00F2071E"/>
    <w:rsid w:val="00F24404"/>
    <w:rsid w:val="00F2690D"/>
    <w:rsid w:val="00F27C3C"/>
    <w:rsid w:val="00F31F09"/>
    <w:rsid w:val="00F32A47"/>
    <w:rsid w:val="00F335B4"/>
    <w:rsid w:val="00F41593"/>
    <w:rsid w:val="00F446FF"/>
    <w:rsid w:val="00F465ED"/>
    <w:rsid w:val="00F503EB"/>
    <w:rsid w:val="00F51903"/>
    <w:rsid w:val="00F63177"/>
    <w:rsid w:val="00F66103"/>
    <w:rsid w:val="00F66228"/>
    <w:rsid w:val="00F66644"/>
    <w:rsid w:val="00F704F0"/>
    <w:rsid w:val="00F71C69"/>
    <w:rsid w:val="00F72553"/>
    <w:rsid w:val="00F72C75"/>
    <w:rsid w:val="00F73F80"/>
    <w:rsid w:val="00F75029"/>
    <w:rsid w:val="00F75052"/>
    <w:rsid w:val="00F7653D"/>
    <w:rsid w:val="00F803F3"/>
    <w:rsid w:val="00F819C1"/>
    <w:rsid w:val="00F81DCE"/>
    <w:rsid w:val="00F838FD"/>
    <w:rsid w:val="00F84BD2"/>
    <w:rsid w:val="00F85C25"/>
    <w:rsid w:val="00F87486"/>
    <w:rsid w:val="00F90372"/>
    <w:rsid w:val="00F94905"/>
    <w:rsid w:val="00FA2D7A"/>
    <w:rsid w:val="00FA396C"/>
    <w:rsid w:val="00FA71D6"/>
    <w:rsid w:val="00FA7296"/>
    <w:rsid w:val="00FA7989"/>
    <w:rsid w:val="00FA7C95"/>
    <w:rsid w:val="00FB208D"/>
    <w:rsid w:val="00FB2C89"/>
    <w:rsid w:val="00FB44D8"/>
    <w:rsid w:val="00FB4B5C"/>
    <w:rsid w:val="00FB6A44"/>
    <w:rsid w:val="00FB747E"/>
    <w:rsid w:val="00FC1683"/>
    <w:rsid w:val="00FC25CB"/>
    <w:rsid w:val="00FC3518"/>
    <w:rsid w:val="00FC35AA"/>
    <w:rsid w:val="00FC4C78"/>
    <w:rsid w:val="00FC6079"/>
    <w:rsid w:val="00FC73AE"/>
    <w:rsid w:val="00FC7F11"/>
    <w:rsid w:val="00FD03A8"/>
    <w:rsid w:val="00FD2CC8"/>
    <w:rsid w:val="00FD331F"/>
    <w:rsid w:val="00FD52AB"/>
    <w:rsid w:val="00FD554C"/>
    <w:rsid w:val="00FD59AF"/>
    <w:rsid w:val="00FD6292"/>
    <w:rsid w:val="00FD6D31"/>
    <w:rsid w:val="00FE088F"/>
    <w:rsid w:val="00FE0A9F"/>
    <w:rsid w:val="00FE1CC5"/>
    <w:rsid w:val="00FE5187"/>
    <w:rsid w:val="00FF3A45"/>
    <w:rsid w:val="00FF3CB5"/>
    <w:rsid w:val="00FF4531"/>
    <w:rsid w:val="00FF4C90"/>
    <w:rsid w:val="00FF7ECB"/>
    <w:rsid w:val="010444F2"/>
    <w:rsid w:val="01AB1F07"/>
    <w:rsid w:val="01D25B8B"/>
    <w:rsid w:val="01E92664"/>
    <w:rsid w:val="0221632A"/>
    <w:rsid w:val="029B00DF"/>
    <w:rsid w:val="029D5971"/>
    <w:rsid w:val="033B2C18"/>
    <w:rsid w:val="04273854"/>
    <w:rsid w:val="043263B0"/>
    <w:rsid w:val="0456174C"/>
    <w:rsid w:val="0577153D"/>
    <w:rsid w:val="05D569FB"/>
    <w:rsid w:val="05E52989"/>
    <w:rsid w:val="063E50F2"/>
    <w:rsid w:val="06AF0434"/>
    <w:rsid w:val="07860D54"/>
    <w:rsid w:val="080F7160"/>
    <w:rsid w:val="083C66A8"/>
    <w:rsid w:val="0862736E"/>
    <w:rsid w:val="088061DE"/>
    <w:rsid w:val="08EB7E94"/>
    <w:rsid w:val="0A084D68"/>
    <w:rsid w:val="0C291589"/>
    <w:rsid w:val="0D001163"/>
    <w:rsid w:val="0D053B26"/>
    <w:rsid w:val="0D0611C0"/>
    <w:rsid w:val="0D6A0C26"/>
    <w:rsid w:val="0DBC505E"/>
    <w:rsid w:val="0ED54CA2"/>
    <w:rsid w:val="0F000CB1"/>
    <w:rsid w:val="0F2041E6"/>
    <w:rsid w:val="0FCF7E4F"/>
    <w:rsid w:val="10BD651A"/>
    <w:rsid w:val="12976B50"/>
    <w:rsid w:val="134D33CC"/>
    <w:rsid w:val="136656F4"/>
    <w:rsid w:val="14545C36"/>
    <w:rsid w:val="156438F2"/>
    <w:rsid w:val="166A323E"/>
    <w:rsid w:val="169E4996"/>
    <w:rsid w:val="17277A70"/>
    <w:rsid w:val="17490D85"/>
    <w:rsid w:val="176F1EA0"/>
    <w:rsid w:val="17CB62BF"/>
    <w:rsid w:val="18A94AD1"/>
    <w:rsid w:val="193D64D0"/>
    <w:rsid w:val="1A626C45"/>
    <w:rsid w:val="1AFD4888"/>
    <w:rsid w:val="1B6E6CCA"/>
    <w:rsid w:val="1C7D4988"/>
    <w:rsid w:val="1CB82FA4"/>
    <w:rsid w:val="1D3827FE"/>
    <w:rsid w:val="1D582BAF"/>
    <w:rsid w:val="1E544673"/>
    <w:rsid w:val="1E987D9D"/>
    <w:rsid w:val="1EB97C5B"/>
    <w:rsid w:val="1EDF6E9C"/>
    <w:rsid w:val="1F262969"/>
    <w:rsid w:val="1F306ABA"/>
    <w:rsid w:val="1F813ADC"/>
    <w:rsid w:val="203A6CB8"/>
    <w:rsid w:val="20F362F0"/>
    <w:rsid w:val="21CC3670"/>
    <w:rsid w:val="221D4410"/>
    <w:rsid w:val="22B615F8"/>
    <w:rsid w:val="238079AD"/>
    <w:rsid w:val="24095D2C"/>
    <w:rsid w:val="243F3957"/>
    <w:rsid w:val="24686F80"/>
    <w:rsid w:val="254D441E"/>
    <w:rsid w:val="2574676B"/>
    <w:rsid w:val="257F573B"/>
    <w:rsid w:val="26893F61"/>
    <w:rsid w:val="26C20A7D"/>
    <w:rsid w:val="26C646C1"/>
    <w:rsid w:val="26D44010"/>
    <w:rsid w:val="2868164C"/>
    <w:rsid w:val="28BD4AD9"/>
    <w:rsid w:val="29EC59B3"/>
    <w:rsid w:val="2B7C4E74"/>
    <w:rsid w:val="2BA93B20"/>
    <w:rsid w:val="2BD67BB2"/>
    <w:rsid w:val="2C1C2AAB"/>
    <w:rsid w:val="2C1F5408"/>
    <w:rsid w:val="2C66676D"/>
    <w:rsid w:val="2DA704B8"/>
    <w:rsid w:val="2DA74F8B"/>
    <w:rsid w:val="2E4E49AF"/>
    <w:rsid w:val="2E696597"/>
    <w:rsid w:val="2E7554E3"/>
    <w:rsid w:val="2EB07B73"/>
    <w:rsid w:val="2F7133EB"/>
    <w:rsid w:val="30054B31"/>
    <w:rsid w:val="304149BD"/>
    <w:rsid w:val="307C4E2D"/>
    <w:rsid w:val="30C82062"/>
    <w:rsid w:val="313F69E6"/>
    <w:rsid w:val="31CA1B73"/>
    <w:rsid w:val="333332A5"/>
    <w:rsid w:val="33847AD6"/>
    <w:rsid w:val="33A157E6"/>
    <w:rsid w:val="36B12694"/>
    <w:rsid w:val="36B55D30"/>
    <w:rsid w:val="3731112F"/>
    <w:rsid w:val="373D51E5"/>
    <w:rsid w:val="38DB752B"/>
    <w:rsid w:val="390A12F5"/>
    <w:rsid w:val="3943651A"/>
    <w:rsid w:val="39C82899"/>
    <w:rsid w:val="3ABD77A3"/>
    <w:rsid w:val="3B734A5F"/>
    <w:rsid w:val="3B9A289E"/>
    <w:rsid w:val="3BA31862"/>
    <w:rsid w:val="3C904902"/>
    <w:rsid w:val="3CB563AB"/>
    <w:rsid w:val="3D2F0F87"/>
    <w:rsid w:val="3D2F24DC"/>
    <w:rsid w:val="3DCD30D1"/>
    <w:rsid w:val="3DDA7832"/>
    <w:rsid w:val="3F576096"/>
    <w:rsid w:val="3FE0098B"/>
    <w:rsid w:val="40F7329F"/>
    <w:rsid w:val="42585666"/>
    <w:rsid w:val="426552D7"/>
    <w:rsid w:val="4300402F"/>
    <w:rsid w:val="436C1B64"/>
    <w:rsid w:val="43F53789"/>
    <w:rsid w:val="441F2761"/>
    <w:rsid w:val="4426311B"/>
    <w:rsid w:val="44701531"/>
    <w:rsid w:val="453669B6"/>
    <w:rsid w:val="45652207"/>
    <w:rsid w:val="45E115B6"/>
    <w:rsid w:val="46D445B1"/>
    <w:rsid w:val="48080F81"/>
    <w:rsid w:val="4856656C"/>
    <w:rsid w:val="485976F4"/>
    <w:rsid w:val="48C96D8A"/>
    <w:rsid w:val="48D962CA"/>
    <w:rsid w:val="48EE158D"/>
    <w:rsid w:val="49040015"/>
    <w:rsid w:val="49744017"/>
    <w:rsid w:val="49F37A22"/>
    <w:rsid w:val="4B3C6E55"/>
    <w:rsid w:val="4B766CBD"/>
    <w:rsid w:val="4BCB71B6"/>
    <w:rsid w:val="4BD207B2"/>
    <w:rsid w:val="4C4165E2"/>
    <w:rsid w:val="4C530625"/>
    <w:rsid w:val="4C701919"/>
    <w:rsid w:val="4C9F536B"/>
    <w:rsid w:val="4CA73DDA"/>
    <w:rsid w:val="4D0B6C1B"/>
    <w:rsid w:val="4D0E40BD"/>
    <w:rsid w:val="4DB24341"/>
    <w:rsid w:val="4DB841F3"/>
    <w:rsid w:val="4E073593"/>
    <w:rsid w:val="4E376D45"/>
    <w:rsid w:val="50675521"/>
    <w:rsid w:val="52061753"/>
    <w:rsid w:val="528002E6"/>
    <w:rsid w:val="52B012FE"/>
    <w:rsid w:val="52E23818"/>
    <w:rsid w:val="52F75EAE"/>
    <w:rsid w:val="535115BF"/>
    <w:rsid w:val="53975FD9"/>
    <w:rsid w:val="541A1072"/>
    <w:rsid w:val="54932E01"/>
    <w:rsid w:val="549E3032"/>
    <w:rsid w:val="54CE0851"/>
    <w:rsid w:val="55CF2447"/>
    <w:rsid w:val="560F034B"/>
    <w:rsid w:val="56335D03"/>
    <w:rsid w:val="57046C3A"/>
    <w:rsid w:val="5863073D"/>
    <w:rsid w:val="58B4756B"/>
    <w:rsid w:val="5AA92602"/>
    <w:rsid w:val="5B2055B2"/>
    <w:rsid w:val="5BCB68F4"/>
    <w:rsid w:val="5CCA5752"/>
    <w:rsid w:val="5D1F6CF2"/>
    <w:rsid w:val="5E374DD5"/>
    <w:rsid w:val="5EB77DB0"/>
    <w:rsid w:val="5EF57022"/>
    <w:rsid w:val="5EFB012B"/>
    <w:rsid w:val="5FDD54E1"/>
    <w:rsid w:val="60173AB8"/>
    <w:rsid w:val="60404528"/>
    <w:rsid w:val="60602468"/>
    <w:rsid w:val="607C2E4A"/>
    <w:rsid w:val="60884A93"/>
    <w:rsid w:val="6111709D"/>
    <w:rsid w:val="612E09C2"/>
    <w:rsid w:val="630965A6"/>
    <w:rsid w:val="636A52BE"/>
    <w:rsid w:val="63EA5C13"/>
    <w:rsid w:val="64B80F4A"/>
    <w:rsid w:val="64FF405D"/>
    <w:rsid w:val="663A657C"/>
    <w:rsid w:val="66451D70"/>
    <w:rsid w:val="680824FD"/>
    <w:rsid w:val="690D5782"/>
    <w:rsid w:val="69334ED4"/>
    <w:rsid w:val="69792879"/>
    <w:rsid w:val="6A142B0D"/>
    <w:rsid w:val="6A656455"/>
    <w:rsid w:val="6A9A099D"/>
    <w:rsid w:val="6B483CF4"/>
    <w:rsid w:val="6B7652E4"/>
    <w:rsid w:val="6BD3231A"/>
    <w:rsid w:val="6D7852C4"/>
    <w:rsid w:val="6E5E0A0E"/>
    <w:rsid w:val="6EFE72AC"/>
    <w:rsid w:val="70832815"/>
    <w:rsid w:val="71183BB3"/>
    <w:rsid w:val="713E0416"/>
    <w:rsid w:val="72793B40"/>
    <w:rsid w:val="73AA775F"/>
    <w:rsid w:val="743527BA"/>
    <w:rsid w:val="746034AC"/>
    <w:rsid w:val="74F52969"/>
    <w:rsid w:val="75751A8B"/>
    <w:rsid w:val="75FB047A"/>
    <w:rsid w:val="76DB2AF7"/>
    <w:rsid w:val="77561FDE"/>
    <w:rsid w:val="778217B4"/>
    <w:rsid w:val="77914211"/>
    <w:rsid w:val="78E7010E"/>
    <w:rsid w:val="798659BA"/>
    <w:rsid w:val="79A27624"/>
    <w:rsid w:val="79EA1235"/>
    <w:rsid w:val="7A1D5AF5"/>
    <w:rsid w:val="7A675715"/>
    <w:rsid w:val="7B147C20"/>
    <w:rsid w:val="7B61326C"/>
    <w:rsid w:val="7C712DE6"/>
    <w:rsid w:val="7CCB602D"/>
    <w:rsid w:val="7D1B50EE"/>
    <w:rsid w:val="7E3C375D"/>
    <w:rsid w:val="7E3F2675"/>
    <w:rsid w:val="7E8A13E3"/>
    <w:rsid w:val="7EA207EE"/>
    <w:rsid w:val="7FE71E64"/>
    <w:rsid w:val="7FF43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autoRedefine/>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Document Map"/>
    <w:basedOn w:val="1"/>
    <w:autoRedefine/>
    <w:semiHidden/>
    <w:qFormat/>
    <w:uiPriority w:val="0"/>
    <w:pPr>
      <w:shd w:val="clear" w:color="auto" w:fill="000080"/>
    </w:pPr>
  </w:style>
  <w:style w:type="paragraph" w:styleId="4">
    <w:name w:val="Date"/>
    <w:basedOn w:val="1"/>
    <w:next w:val="1"/>
    <w:autoRedefine/>
    <w:qFormat/>
    <w:uiPriority w:val="0"/>
    <w:pPr>
      <w:ind w:left="100" w:leftChars="2500"/>
    </w:pPr>
    <w:rPr>
      <w:rFonts w:ascii="宋体"/>
      <w:sz w:val="24"/>
      <w:szCs w:val="20"/>
    </w:rPr>
  </w:style>
  <w:style w:type="paragraph" w:styleId="5">
    <w:name w:val="Balloon Text"/>
    <w:basedOn w:val="1"/>
    <w:autoRedefine/>
    <w:semiHidden/>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qFormat/>
    <w:uiPriority w:val="0"/>
    <w:rPr>
      <w:color w:val="0000FF"/>
      <w:u w:val="single"/>
    </w:rPr>
  </w:style>
  <w:style w:type="paragraph" w:customStyle="1" w:styleId="13">
    <w:name w:val="列表段落1"/>
    <w:basedOn w:val="1"/>
    <w:autoRedefine/>
    <w:qFormat/>
    <w:uiPriority w:val="0"/>
    <w:pPr>
      <w:ind w:firstLine="420" w:firstLineChars="200"/>
    </w:pPr>
  </w:style>
  <w:style w:type="character" w:customStyle="1" w:styleId="14">
    <w:name w:val="font01"/>
    <w:autoRedefine/>
    <w:qFormat/>
    <w:uiPriority w:val="0"/>
    <w:rPr>
      <w:rFonts w:hint="eastAsia" w:ascii="宋体" w:hAnsi="宋体" w:eastAsia="宋体" w:cs="宋体"/>
      <w:color w:val="000000"/>
      <w:sz w:val="22"/>
      <w:szCs w:val="22"/>
      <w:u w:val="none"/>
    </w:rPr>
  </w:style>
  <w:style w:type="paragraph" w:styleId="15">
    <w:name w:val="List Paragraph"/>
    <w:basedOn w:val="1"/>
    <w:autoRedefine/>
    <w:qFormat/>
    <w:uiPriority w:val="99"/>
    <w:pPr>
      <w:ind w:firstLine="420" w:firstLineChars="200"/>
    </w:pPr>
  </w:style>
  <w:style w:type="character" w:customStyle="1" w:styleId="16">
    <w:name w:val="Unresolved Mention"/>
    <w:basedOn w:val="11"/>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bucg5</Company>
  <Pages>6</Pages>
  <Words>2757</Words>
  <Characters>2934</Characters>
  <Lines>30</Lines>
  <Paragraphs>8</Paragraphs>
  <TotalTime>9</TotalTime>
  <ScaleCrop>false</ScaleCrop>
  <LinksUpToDate>false</LinksUpToDate>
  <CharactersWithSpaces>3091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2021-01-25T08:19:00Z</dcterms:created>
  <dc:creator>thtfpc</dc:creator>
  <cp:lastModifiedBy>李朴</cp:lastModifiedBy>
  <cp:lastPrinted>2021-07-16T03:38:00Z</cp:lastPrinted>
  <dcterms:modified xsi:type="dcterms:W3CDTF">2026-08-31T00:33:28Z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95C4BEF730634702950642035828A1E1_13</vt:lpwstr>
  </property>
  <property fmtid="{D5CDD505-2E9C-101B-9397-08002B2CF9AE}" pid="4" name="KSOTemplateDocerSaveRecord">
    <vt:lpwstr>eyJoZGlkIjoiZDhjYTBkZjA1ZTllYTRjNjMzMjBiMzFjMWUxYWNhNzUiLCJ1c2VySWQiOiI3MjcyMDE1NjYifQ==</vt:lpwstr>
  </property>
</Properties>
</file>